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highlight w:val="none"/>
              </w:rPr>
            </w:pPr>
            <w:r>
              <w:rPr>
                <w:rFonts w:ascii="黑体" w:hAnsi="黑体" w:eastAsia="黑体"/>
                <w:sz w:val="21"/>
                <w:szCs w:val="21"/>
                <w:highlight w:val="none"/>
              </w:rPr>
              <w:t xml:space="preserve">ICS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highlight w:val="none"/>
              </w:rPr>
            </w:pPr>
            <w:bookmarkStart w:id="0" w:name="ICS"/>
            <w:r>
              <w:rPr>
                <w:rFonts w:ascii="黑体" w:hAnsi="黑体" w:eastAsia="黑体" w:cs="Times New Roman"/>
                <w:kern w:val="2"/>
                <w:sz w:val="21"/>
                <w:szCs w:val="21"/>
                <w:highlight w:val="none"/>
                <w:lang w:val="en-US" w:eastAsia="zh-CN" w:bidi="ar-SA"/>
              </w:rPr>
              <w:fldChar w:fldCharType="begin">
                <w:ffData>
                  <w:name w:val="ICS"/>
                  <w:enabled/>
                  <w:calcOnExit w:val="0"/>
                  <w:textInput>
                    <w:default w:val="31.030"/>
                  </w:textInput>
                </w:ffData>
              </w:fldChar>
            </w:r>
            <w:r>
              <w:rPr>
                <w:rFonts w:ascii="黑体" w:hAnsi="黑体" w:eastAsia="黑体" w:cs="Times New Roman"/>
                <w:kern w:val="2"/>
                <w:sz w:val="21"/>
                <w:szCs w:val="21"/>
                <w:highlight w:val="none"/>
                <w:lang w:val="en-US" w:eastAsia="zh-CN" w:bidi="ar-SA"/>
              </w:rPr>
              <w:instrText xml:space="preserve">FORMTEXT</w:instrText>
            </w:r>
            <w:r>
              <w:rPr>
                <w:rFonts w:ascii="黑体" w:hAnsi="黑体" w:eastAsia="黑体" w:cs="Times New Roman"/>
                <w:kern w:val="2"/>
                <w:sz w:val="21"/>
                <w:szCs w:val="21"/>
                <w:highlight w:val="none"/>
                <w:lang w:val="en-US" w:eastAsia="zh-CN" w:bidi="ar-SA"/>
              </w:rPr>
              <w:fldChar w:fldCharType="separate"/>
            </w:r>
            <w:r>
              <w:rPr>
                <w:rFonts w:ascii="黑体" w:hAnsi="黑体" w:eastAsia="黑体" w:cs="Times New Roman"/>
                <w:kern w:val="2"/>
                <w:sz w:val="21"/>
                <w:szCs w:val="21"/>
                <w:highlight w:val="none"/>
                <w:lang w:val="en-US" w:eastAsia="zh-CN" w:bidi="ar-SA"/>
              </w:rPr>
              <w:t>31.030</w:t>
            </w:r>
            <w:r>
              <w:rPr>
                <w:rFonts w:ascii="黑体" w:hAnsi="黑体" w:eastAsia="黑体" w:cs="Times New Roman"/>
                <w:kern w:val="2"/>
                <w:sz w:val="21"/>
                <w:szCs w:val="21"/>
                <w:highlight w:val="none"/>
                <w:lang w:val="en-US" w:eastAsia="zh-CN" w:bidi="ar-SA"/>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r>
              <w:rPr>
                <w:rFonts w:ascii="黑体" w:hAnsi="黑体" w:eastAsia="黑体"/>
                <w:sz w:val="21"/>
                <w:szCs w:val="21"/>
                <w:highlight w:val="none"/>
              </w:rPr>
              <w:t xml:space="preserve">CCS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1"/>
                    <w:framePr w:wrap="notBeside" w:vAnchor="page" w:hAnchor="page" w:x="1372" w:y="568"/>
                    <w:ind w:left="420" w:right="624"/>
                    <w:rPr>
                      <w:rFonts w:ascii="黑体" w:hAnsi="黑体" w:eastAsia="黑体"/>
                      <w:sz w:val="28"/>
                      <w:szCs w:val="28"/>
                      <w:highlight w:val="none"/>
                    </w:rPr>
                  </w:pPr>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bookmarkStart w:id="1" w:name="CSDN"/>
            <w:r>
              <w:rPr>
                <w:rFonts w:ascii="黑体" w:hAnsi="黑体" w:eastAsia="黑体" w:cs="Times New Roman"/>
                <w:kern w:val="2"/>
                <w:sz w:val="21"/>
                <w:szCs w:val="21"/>
                <w:highlight w:val="none"/>
                <w:lang w:val="en-US" w:eastAsia="zh-CN" w:bidi="ar-SA"/>
              </w:rPr>
              <w:fldChar w:fldCharType="begin">
                <w:ffData>
                  <w:name w:val="CSDN"/>
                  <w:enabled/>
                  <w:calcOnExit w:val="0"/>
                  <w:textInput>
                    <w:default w:val="L90"/>
                  </w:textInput>
                </w:ffData>
              </w:fldChar>
            </w:r>
            <w:r>
              <w:rPr>
                <w:rFonts w:ascii="黑体" w:hAnsi="黑体" w:eastAsia="黑体" w:cs="Times New Roman"/>
                <w:kern w:val="2"/>
                <w:sz w:val="21"/>
                <w:szCs w:val="21"/>
                <w:highlight w:val="none"/>
                <w:lang w:val="en-US" w:eastAsia="zh-CN" w:bidi="ar-SA"/>
              </w:rPr>
              <w:instrText xml:space="preserve">FORMTEXT</w:instrText>
            </w:r>
            <w:r>
              <w:rPr>
                <w:rFonts w:ascii="黑体" w:hAnsi="黑体" w:eastAsia="黑体" w:cs="Times New Roman"/>
                <w:kern w:val="2"/>
                <w:sz w:val="21"/>
                <w:szCs w:val="21"/>
                <w:highlight w:val="none"/>
                <w:lang w:val="en-US" w:eastAsia="zh-CN" w:bidi="ar-SA"/>
              </w:rPr>
              <w:fldChar w:fldCharType="separate"/>
            </w:r>
            <w:r>
              <w:rPr>
                <w:rFonts w:ascii="黑体" w:hAnsi="黑体" w:eastAsia="黑体" w:cs="Times New Roman"/>
                <w:kern w:val="2"/>
                <w:sz w:val="21"/>
                <w:szCs w:val="21"/>
                <w:highlight w:val="none"/>
                <w:lang w:val="en-US" w:eastAsia="zh-CN" w:bidi="ar-SA"/>
              </w:rPr>
              <w:t>L90</w:t>
            </w:r>
            <w:r>
              <w:rPr>
                <w:rFonts w:ascii="黑体" w:hAnsi="黑体" w:eastAsia="黑体" w:cs="Times New Roman"/>
                <w:kern w:val="2"/>
                <w:sz w:val="21"/>
                <w:szCs w:val="21"/>
                <w:highlight w:val="none"/>
                <w:lang w:val="en-US" w:eastAsia="zh-CN" w:bidi="ar-SA"/>
              </w:rPr>
              <w:fldChar w:fldCharType="end"/>
            </w:r>
            <w:bookmarkEnd w:id="1"/>
          </w:p>
        </w:tc>
      </w:tr>
    </w:tbl>
    <w:p>
      <w:pPr>
        <w:pStyle w:val="52"/>
        <w:framePr w:w="9639" w:h="1054" w:hRule="exact" w:hSpace="181" w:vSpace="181" w:wrap="around" w:hAnchor="page" w:x="1305" w:y="2269"/>
        <w:spacing w:line="240" w:lineRule="auto"/>
        <w:ind w:right="817" w:rightChars="389"/>
        <w:rPr>
          <w:rFonts w:ascii="黑体" w:hAnsi="黑体" w:eastAsia="黑体"/>
          <w:b w:val="0"/>
          <w:bCs w:val="0"/>
          <w:w w:val="100"/>
          <w:sz w:val="84"/>
          <w:szCs w:val="84"/>
          <w:highlight w:val="none"/>
        </w:rPr>
      </w:pPr>
      <w:bookmarkStart w:id="2" w:name="_Hlk26473981"/>
      <w:r>
        <w:rPr>
          <w:rFonts w:hint="eastAsia" w:ascii="黑体" w:eastAsia="黑体"/>
          <w:b w:val="0"/>
          <w:w w:val="100"/>
          <w:sz w:val="84"/>
          <w:szCs w:val="84"/>
          <w:highlight w:val="none"/>
        </w:rPr>
        <w:t xml:space="preserve"> 团体</w:t>
      </w:r>
      <w:r>
        <w:rPr>
          <w:rFonts w:hint="eastAsia" w:ascii="黑体" w:hAnsi="黑体" w:eastAsia="黑体"/>
          <w:b w:val="0"/>
          <w:bCs w:val="0"/>
          <w:w w:val="100"/>
          <w:sz w:val="84"/>
          <w:szCs w:val="84"/>
          <w:highlight w:val="none"/>
        </w:rPr>
        <w:t xml:space="preserve">标准 </w:t>
      </w:r>
    </w:p>
    <w:bookmarkEnd w:id="2"/>
    <w:p>
      <w:pPr>
        <w:pStyle w:val="197"/>
        <w:framePr w:wrap="around" w:x="1431" w:y="3469"/>
        <w:rPr>
          <w:rFonts w:hint="eastAsia" w:eastAsia="黑体"/>
          <w:highlight w:val="none"/>
          <w:lang w:val="en-US" w:eastAsia="zh-CN"/>
        </w:rPr>
      </w:pPr>
      <w:r>
        <w:rPr>
          <w:highlight w:val="none"/>
        </w:rPr>
        <w:t xml:space="preserve">T/CPIA </w:t>
      </w:r>
      <w:r>
        <w:rPr>
          <w:rFonts w:hint="eastAsia"/>
          <w:highlight w:val="none"/>
          <w:lang w:val="en-US" w:eastAsia="zh-CN"/>
        </w:rPr>
        <w:t>XXXX</w:t>
      </w:r>
      <w:r>
        <w:rPr>
          <w:rFonts w:hAnsi="黑体"/>
          <w:highlight w:val="none"/>
        </w:rPr>
        <w:t>—</w:t>
      </w:r>
      <w:r>
        <w:rPr>
          <w:highlight w:val="none"/>
        </w:rPr>
        <w:t>202</w:t>
      </w:r>
      <w:r>
        <w:rPr>
          <w:rFonts w:hint="eastAsia"/>
          <w:highlight w:val="none"/>
          <w:lang w:val="en-US" w:eastAsia="zh-CN"/>
        </w:rPr>
        <w:t>3</w:t>
      </w:r>
    </w:p>
    <w:p>
      <w:pPr>
        <w:pStyle w:val="198"/>
        <w:framePr w:wrap="around" w:x="1431" w:y="3469"/>
        <w:rPr>
          <w:rFonts w:hAnsi="黑体"/>
          <w:highlight w:val="none"/>
        </w:rPr>
      </w:pPr>
      <w:r>
        <w:rPr>
          <w:rFonts w:hAnsi="黑体"/>
          <w:highlight w:val="none"/>
        </w:rPr>
        <w:fldChar w:fldCharType="begin">
          <w:ffData>
            <w:name w:val="OSTD_CODE"/>
            <w:enabled/>
            <w:calcOnExit w:val="0"/>
            <w:textInput/>
          </w:ffData>
        </w:fldChar>
      </w:r>
      <w:bookmarkStart w:id="3" w:name="OSTD_CODE"/>
      <w:r>
        <w:rPr>
          <w:rFonts w:hAnsi="黑体"/>
          <w:highlight w:val="none"/>
        </w:rPr>
        <w:instrText xml:space="preserve"> FORMTEXT </w:instrText>
      </w:r>
      <w:r>
        <w:rPr>
          <w:rFonts w:hAnsi="黑体"/>
          <w:highlight w:val="none"/>
        </w:rPr>
        <w:fldChar w:fldCharType="separate"/>
      </w:r>
      <w:r>
        <w:rPr>
          <w:rFonts w:hAnsi="黑体"/>
          <w:highlight w:val="none"/>
        </w:rPr>
        <w:t>     </w:t>
      </w:r>
      <w:r>
        <w:rPr>
          <w:rFonts w:hAnsi="黑体"/>
          <w:highlight w:val="none"/>
        </w:rPr>
        <w:fldChar w:fldCharType="end"/>
      </w:r>
      <w:bookmarkEnd w:id="3"/>
    </w:p>
    <w:p>
      <w:pPr>
        <w:spacing w:line="240" w:lineRule="auto"/>
        <w:rPr>
          <w:rFonts w:ascii="黑体" w:hAnsi="黑体" w:eastAsia="黑体"/>
          <w:kern w:val="0"/>
          <w:sz w:val="10"/>
          <w:szCs w:val="10"/>
          <w:highlight w:val="none"/>
        </w:rPr>
      </w:pPr>
      <w:r>
        <w:rPr>
          <w:rFonts w:ascii="黑体" w:hAnsi="黑体" w:eastAsia="黑体"/>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highlight w:val="none"/>
        </w:rPr>
      </w:pPr>
    </w:p>
    <w:p>
      <w:pPr>
        <w:pStyle w:val="199"/>
        <w:framePr w:h="6974" w:hRule="exact" w:wrap="around" w:x="1419" w:anchorLock="1"/>
        <w:rPr>
          <w:highlight w:val="none"/>
        </w:rPr>
      </w:pPr>
      <w:bookmarkStart w:id="4" w:name="CSTD_NAME"/>
      <w:r>
        <w:rPr>
          <w:rFonts w:ascii="黑体" w:hAnsi="黑体" w:eastAsia="黑体" w:cs="Times New Roman"/>
          <w:bCs/>
          <w:sz w:val="52"/>
          <w:highlight w:val="none"/>
          <w:lang w:val="en-US" w:eastAsia="zh-CN" w:bidi="ar-SA"/>
        </w:rPr>
        <w:fldChar w:fldCharType="begin">
          <w:ffData>
            <w:name w:val="CSTD_NAME"/>
            <w:enabled/>
            <w:calcOnExit w:val="0"/>
            <w:textInput>
              <w:default w:val="晶体硅光伏电池用浆料  第4部分：正面和背面银浆  固化型银浆"/>
            </w:textInput>
          </w:ffData>
        </w:fldChar>
      </w:r>
      <w:r>
        <w:rPr>
          <w:rFonts w:ascii="黑体" w:hAnsi="黑体" w:eastAsia="黑体" w:cs="Times New Roman"/>
          <w:bCs/>
          <w:sz w:val="52"/>
          <w:highlight w:val="none"/>
          <w:lang w:val="en-US" w:eastAsia="zh-CN" w:bidi="ar-SA"/>
        </w:rPr>
        <w:instrText xml:space="preserve">FORMTEXT</w:instrText>
      </w:r>
      <w:r>
        <w:rPr>
          <w:rFonts w:ascii="黑体" w:hAnsi="黑体" w:eastAsia="黑体" w:cs="Times New Roman"/>
          <w:bCs/>
          <w:sz w:val="52"/>
          <w:highlight w:val="none"/>
          <w:lang w:val="en-US" w:eastAsia="zh-CN" w:bidi="ar-SA"/>
        </w:rPr>
        <w:fldChar w:fldCharType="separate"/>
      </w:r>
      <w:r>
        <w:rPr>
          <w:rFonts w:ascii="黑体" w:hAnsi="黑体" w:eastAsia="黑体" w:cs="Times New Roman"/>
          <w:bCs/>
          <w:sz w:val="52"/>
          <w:highlight w:val="none"/>
          <w:lang w:val="en-US" w:eastAsia="zh-CN" w:bidi="ar-SA"/>
        </w:rPr>
        <w:t>晶体硅光伏电池用浆料  第4部分：正面和背面银浆  固化型银浆</w:t>
      </w:r>
      <w:r>
        <w:rPr>
          <w:rFonts w:ascii="黑体" w:hAnsi="黑体" w:eastAsia="黑体" w:cs="Times New Roman"/>
          <w:bCs/>
          <w:sz w:val="52"/>
          <w:highlight w:val="none"/>
          <w:lang w:val="en-US" w:eastAsia="zh-CN" w:bidi="ar-SA"/>
        </w:rPr>
        <w:fldChar w:fldCharType="end"/>
      </w:r>
      <w:bookmarkEnd w:id="4"/>
    </w:p>
    <w:p>
      <w:pPr>
        <w:framePr w:w="9639" w:h="6974" w:hRule="exact" w:wrap="around" w:vAnchor="page" w:hAnchor="page" w:x="1419" w:y="6408" w:anchorLock="1"/>
        <w:ind w:left="-1418"/>
        <w:rPr>
          <w:highlight w:val="none"/>
        </w:rPr>
      </w:pPr>
    </w:p>
    <w:p>
      <w:pPr>
        <w:pStyle w:val="127"/>
        <w:framePr w:w="9639" w:h="6974" w:hRule="exact" w:wrap="around" w:vAnchor="page" w:hAnchor="page" w:x="1419" w:y="6408" w:anchorLock="1"/>
        <w:textAlignment w:val="bottom"/>
        <w:rPr>
          <w:rFonts w:eastAsia="黑体"/>
          <w:szCs w:val="28"/>
          <w:highlight w:val="none"/>
        </w:rPr>
      </w:pPr>
      <w:bookmarkStart w:id="5" w:name="ESTD_NAME"/>
      <w:r>
        <w:rPr>
          <w:rFonts w:hint="eastAsia" w:ascii="黑体" w:hAnsi="黑体" w:eastAsia="黑体" w:cs="黑体"/>
          <w:sz w:val="28"/>
          <w:szCs w:val="28"/>
          <w:highlight w:val="none"/>
          <w:lang w:val="en-US" w:eastAsia="zh-CN" w:bidi="ar-SA"/>
        </w:rPr>
        <w:fldChar w:fldCharType="begin">
          <w:ffData>
            <w:name w:val="ESTD_NAME"/>
            <w:enabled/>
            <w:calcOnExit w:val="0"/>
            <w:textInput>
              <w:default w:val="Paste used for crystalline silicon photovoltaic (PV) cells Part 4：Front-side and Rear-side silver paste Cured silver paste"/>
            </w:textInput>
          </w:ffData>
        </w:fldChar>
      </w:r>
      <w:r>
        <w:rPr>
          <w:rFonts w:hint="eastAsia" w:ascii="黑体" w:hAnsi="黑体" w:eastAsia="黑体" w:cs="黑体"/>
          <w:sz w:val="28"/>
          <w:szCs w:val="28"/>
          <w:highlight w:val="none"/>
          <w:lang w:val="en-US" w:eastAsia="zh-CN" w:bidi="ar-SA"/>
        </w:rPr>
        <w:instrText xml:space="preserve">FORMTEXT</w:instrText>
      </w:r>
      <w:r>
        <w:rPr>
          <w:rFonts w:hint="eastAsia" w:ascii="黑体" w:hAnsi="黑体" w:eastAsia="黑体" w:cs="黑体"/>
          <w:sz w:val="28"/>
          <w:szCs w:val="28"/>
          <w:highlight w:val="none"/>
          <w:lang w:val="en-US" w:eastAsia="zh-CN" w:bidi="ar-SA"/>
        </w:rPr>
        <w:fldChar w:fldCharType="separate"/>
      </w:r>
      <w:r>
        <w:rPr>
          <w:rFonts w:hint="eastAsia" w:ascii="黑体" w:hAnsi="黑体" w:eastAsia="黑体" w:cs="黑体"/>
          <w:sz w:val="28"/>
          <w:szCs w:val="28"/>
          <w:highlight w:val="none"/>
          <w:lang w:val="en-US" w:eastAsia="zh-CN" w:bidi="ar-SA"/>
        </w:rPr>
        <w:t>Paste used for crystalline silicon photovoltaic (PV) cells Part 4：Front-side and Rear-side silver paste Cured silver paste</w:t>
      </w:r>
      <w:r>
        <w:rPr>
          <w:rFonts w:hint="eastAsia" w:ascii="黑体" w:hAnsi="黑体" w:eastAsia="黑体" w:cs="黑体"/>
          <w:sz w:val="28"/>
          <w:szCs w:val="28"/>
          <w:highlight w:val="none"/>
          <w:lang w:val="en-US" w:eastAsia="zh-CN" w:bidi="ar-SA"/>
        </w:rPr>
        <w:fldChar w:fldCharType="end"/>
      </w:r>
      <w:bookmarkEnd w:id="5"/>
    </w:p>
    <w:p>
      <w:pPr>
        <w:framePr w:w="9639" w:h="6974" w:hRule="exact" w:wrap="around" w:vAnchor="page" w:hAnchor="page" w:x="1419" w:y="6408" w:anchorLock="1"/>
        <w:spacing w:line="760" w:lineRule="exact"/>
        <w:ind w:left="-1418"/>
        <w:rPr>
          <w:highlight w:val="none"/>
        </w:rPr>
      </w:pPr>
    </w:p>
    <w:p>
      <w:pPr>
        <w:pStyle w:val="127"/>
        <w:framePr w:w="9639" w:h="6974" w:hRule="exact" w:wrap="around" w:vAnchor="page" w:hAnchor="page" w:x="1419" w:y="6408" w:anchorLock="1"/>
        <w:textAlignment w:val="bottom"/>
        <w:rPr>
          <w:rFonts w:eastAsia="黑体"/>
          <w:szCs w:val="28"/>
          <w:highlight w:val="none"/>
        </w:rPr>
      </w:pPr>
    </w:p>
    <w:p>
      <w:pPr>
        <w:pStyle w:val="127"/>
        <w:framePr w:w="9639" w:h="6974" w:hRule="exact" w:wrap="around" w:vAnchor="page" w:hAnchor="page" w:x="1419" w:y="6408" w:anchorLock="1"/>
        <w:spacing w:before="440" w:after="160"/>
        <w:textAlignment w:val="bottom"/>
        <w:rPr>
          <w:rFonts w:hint="eastAsia" w:eastAsia="宋体"/>
          <w:sz w:val="24"/>
          <w:szCs w:val="28"/>
          <w:highlight w:val="none"/>
          <w:lang w:val="en-US" w:eastAsia="zh-CN"/>
        </w:rPr>
      </w:pPr>
      <w:r>
        <w:rPr>
          <w:rFonts w:hint="eastAsia"/>
          <w:sz w:val="24"/>
          <w:szCs w:val="28"/>
          <w:highlight w:val="none"/>
          <w:lang w:val="en-US" w:eastAsia="zh-CN"/>
        </w:rPr>
        <w:t>（征求意见稿）</w:t>
      </w:r>
    </w:p>
    <w:p>
      <w:pPr>
        <w:pStyle w:val="127"/>
        <w:framePr w:w="9639" w:h="6974" w:hRule="exact" w:wrap="around" w:vAnchor="page" w:hAnchor="page" w:x="1419" w:y="6408" w:anchorLock="1"/>
        <w:spacing w:before="180" w:line="240" w:lineRule="atLeast"/>
        <w:textAlignment w:val="bottom"/>
        <w:rPr>
          <w:sz w:val="21"/>
          <w:szCs w:val="28"/>
          <w:highlight w:val="none"/>
        </w:rPr>
      </w:pPr>
      <w:r>
        <w:rPr>
          <w:sz w:val="21"/>
          <w:szCs w:val="28"/>
          <w:highlight w:val="none"/>
        </w:rPr>
        <w:fldChar w:fldCharType="begin">
          <w:ffData>
            <w:name w:val="CMPLSH_DATE"/>
            <w:enabled/>
            <w:calcOnExit w:val="0"/>
            <w:textInput/>
          </w:ffData>
        </w:fldChar>
      </w:r>
      <w:bookmarkStart w:id="6" w:name="CMPLSH_DATE"/>
      <w:r>
        <w:rPr>
          <w:sz w:val="21"/>
          <w:szCs w:val="28"/>
          <w:highlight w:val="none"/>
        </w:rPr>
        <w:instrText xml:space="preserve"> FORMTEXT </w:instrText>
      </w:r>
      <w:r>
        <w:rPr>
          <w:sz w:val="21"/>
          <w:szCs w:val="28"/>
          <w:highlight w:val="none"/>
        </w:rPr>
        <w:fldChar w:fldCharType="separate"/>
      </w:r>
      <w:r>
        <w:rPr>
          <w:sz w:val="21"/>
          <w:szCs w:val="28"/>
          <w:highlight w:val="none"/>
        </w:rPr>
        <w:t>     </w:t>
      </w:r>
      <w:r>
        <w:rPr>
          <w:sz w:val="21"/>
          <w:szCs w:val="28"/>
          <w:highlight w:val="none"/>
        </w:rPr>
        <w:fldChar w:fldCharType="end"/>
      </w:r>
      <w:bookmarkEnd w:id="6"/>
    </w:p>
    <w:p>
      <w:pPr>
        <w:pStyle w:val="127"/>
        <w:framePr w:w="9639" w:h="6974" w:hRule="exact" w:wrap="around" w:vAnchor="page" w:hAnchor="page" w:x="1419" w:y="6408" w:anchorLock="1"/>
        <w:spacing w:before="720" w:beforeLines="300" w:after="72" w:afterLines="30" w:line="240" w:lineRule="auto"/>
        <w:textAlignment w:val="bottom"/>
        <w:rPr>
          <w:b/>
          <w:sz w:val="21"/>
          <w:szCs w:val="28"/>
          <w:highlight w:val="none"/>
        </w:rPr>
      </w:pPr>
      <w:r>
        <w:rPr>
          <w:b/>
          <w:sz w:val="21"/>
          <w:szCs w:val="28"/>
          <w:highlight w:val="none"/>
        </w:rPr>
        <w:fldChar w:fldCharType="begin">
          <w:ffData>
            <w:name w:val="下拉2"/>
            <w:enabled/>
            <w:calcOnExit w:val="0"/>
            <w:ddList>
              <w:result w:val="1"/>
              <w:listEntry w:val=" "/>
              <w:listEntry w:val="在提交反馈意见时，请将您知道的相关专利连同支持性文件一并附上。"/>
            </w:ddList>
          </w:ffData>
        </w:fldChar>
      </w:r>
      <w:bookmarkStart w:id="7" w:name="下拉2"/>
      <w:r>
        <w:rPr>
          <w:b/>
          <w:sz w:val="21"/>
          <w:szCs w:val="28"/>
          <w:highlight w:val="none"/>
        </w:rPr>
        <w:instrText xml:space="preserve"> FORMDROPDOWN </w:instrText>
      </w:r>
      <w:r>
        <w:rPr>
          <w:b/>
          <w:sz w:val="21"/>
          <w:szCs w:val="28"/>
          <w:highlight w:val="none"/>
        </w:rPr>
        <w:fldChar w:fldCharType="separate"/>
      </w:r>
      <w:r>
        <w:rPr>
          <w:b/>
          <w:sz w:val="21"/>
          <w:szCs w:val="28"/>
          <w:highlight w:val="none"/>
        </w:rPr>
        <w:fldChar w:fldCharType="end"/>
      </w:r>
      <w:bookmarkEnd w:id="7"/>
    </w:p>
    <w:p>
      <w:pPr>
        <w:pStyle w:val="195"/>
        <w:framePr w:wrap="around" w:y="14176"/>
        <w:rPr>
          <w:highlight w:val="none"/>
        </w:rPr>
      </w:pPr>
      <w:r>
        <w:rPr>
          <w:rFonts w:ascii="黑体"/>
          <w:highlight w:val="none"/>
        </w:rPr>
        <w:fldChar w:fldCharType="begin">
          <w:ffData>
            <w:name w:val="PLSH_DATE_Y"/>
            <w:enabled/>
            <w:calcOnExit w:val="0"/>
            <w:textInput>
              <w:default w:val="XXXX"/>
              <w:maxLength w:val="4"/>
            </w:textInput>
          </w:ffData>
        </w:fldChar>
      </w:r>
      <w:bookmarkStart w:id="8" w:name="PLSH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8"/>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M"/>
            <w:enabled/>
            <w:calcOnExit w:val="0"/>
            <w:textInput>
              <w:default w:val="XX"/>
              <w:maxLength w:val="2"/>
            </w:textInput>
          </w:ffData>
        </w:fldChar>
      </w:r>
      <w:bookmarkStart w:id="9" w:name="PLSH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9"/>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D"/>
            <w:enabled/>
            <w:calcOnExit w:val="0"/>
            <w:textInput>
              <w:default w:val="XX"/>
              <w:maxLength w:val="2"/>
            </w:textInput>
          </w:ffData>
        </w:fldChar>
      </w:r>
      <w:bookmarkStart w:id="10" w:name="PLSH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0"/>
      <w:r>
        <w:rPr>
          <w:rFonts w:hint="eastAsia"/>
          <w:highlight w:val="none"/>
        </w:rPr>
        <w:t>发布</w:t>
      </w:r>
    </w:p>
    <w:p>
      <w:pPr>
        <w:pStyle w:val="196"/>
        <w:framePr w:wrap="around" w:y="14176"/>
        <w:rPr>
          <w:highlight w:val="none"/>
        </w:rPr>
      </w:pPr>
      <w:r>
        <w:rPr>
          <w:rFonts w:ascii="黑体"/>
          <w:highlight w:val="none"/>
        </w:rPr>
        <w:fldChar w:fldCharType="begin">
          <w:ffData>
            <w:name w:val="CROT_DATE_Y"/>
            <w:enabled/>
            <w:calcOnExit w:val="0"/>
            <w:textInput>
              <w:default w:val="XXXX"/>
              <w:maxLength w:val="4"/>
            </w:textInput>
          </w:ffData>
        </w:fldChar>
      </w:r>
      <w:bookmarkStart w:id="11" w:name="CROT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11"/>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M"/>
            <w:enabled/>
            <w:calcOnExit w:val="0"/>
            <w:textInput>
              <w:default w:val="XX"/>
              <w:maxLength w:val="2"/>
            </w:textInput>
          </w:ffData>
        </w:fldChar>
      </w:r>
      <w:bookmarkStart w:id="12" w:name="CROT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2"/>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D"/>
            <w:enabled/>
            <w:calcOnExit w:val="0"/>
            <w:textInput>
              <w:default w:val="XX"/>
              <w:maxLength w:val="2"/>
            </w:textInput>
          </w:ffData>
        </w:fldChar>
      </w:r>
      <w:bookmarkStart w:id="13" w:name="CROT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3"/>
      <w:r>
        <w:rPr>
          <w:rFonts w:hint="eastAsia"/>
          <w:highlight w:val="none"/>
        </w:rPr>
        <w:t>实施</w:t>
      </w:r>
    </w:p>
    <w:p>
      <w:pPr>
        <w:pStyle w:val="153"/>
        <w:framePr w:h="584" w:hRule="exact" w:hSpace="181" w:vSpace="181" w:wrap="around" w:y="14800"/>
        <w:rPr>
          <w:rFonts w:hAnsi="黑体"/>
          <w:highlight w:val="none"/>
        </w:rPr>
      </w:pPr>
      <w:bookmarkStart w:id="14" w:name="fm"/>
      <w:r>
        <w:rPr>
          <w:rFonts w:ascii="黑体" w:hAnsi="黑体" w:eastAsia="黑体" w:cs="Times New Roman"/>
          <w:b w:val="0"/>
          <w:w w:val="100"/>
          <w:sz w:val="28"/>
          <w:highlight w:val="none"/>
          <w:lang w:val="en-US" w:eastAsia="zh-CN" w:bidi="ar-SA"/>
        </w:rPr>
        <w:fldChar w:fldCharType="begin">
          <w:ffData>
            <w:name w:val="fm"/>
            <w:enabled/>
            <w:calcOnExit w:val="0"/>
            <w:textInput>
              <w:default w:val="中国光伏行业协会"/>
            </w:textInput>
          </w:ffData>
        </w:fldChar>
      </w:r>
      <w:r>
        <w:rPr>
          <w:rFonts w:ascii="黑体" w:hAnsi="黑体" w:eastAsia="黑体" w:cs="Times New Roman"/>
          <w:b w:val="0"/>
          <w:w w:val="100"/>
          <w:sz w:val="28"/>
          <w:highlight w:val="none"/>
          <w:lang w:val="en-US" w:eastAsia="zh-CN" w:bidi="ar-SA"/>
        </w:rPr>
        <w:instrText xml:space="preserve">FORMTEXT</w:instrText>
      </w:r>
      <w:r>
        <w:rPr>
          <w:rFonts w:ascii="黑体" w:hAnsi="黑体" w:eastAsia="黑体" w:cs="Times New Roman"/>
          <w:b w:val="0"/>
          <w:w w:val="100"/>
          <w:sz w:val="28"/>
          <w:highlight w:val="none"/>
          <w:lang w:val="en-US" w:eastAsia="zh-CN" w:bidi="ar-SA"/>
        </w:rPr>
        <w:fldChar w:fldCharType="separate"/>
      </w:r>
      <w:r>
        <w:rPr>
          <w:rFonts w:ascii="黑体" w:hAnsi="黑体" w:eastAsia="黑体" w:cs="Times New Roman"/>
          <w:b w:val="0"/>
          <w:w w:val="100"/>
          <w:sz w:val="28"/>
          <w:highlight w:val="none"/>
          <w:lang w:val="en-US" w:eastAsia="zh-CN" w:bidi="ar-SA"/>
        </w:rPr>
        <w:t>中国光伏行业协会</w:t>
      </w:r>
      <w:r>
        <w:rPr>
          <w:rFonts w:ascii="黑体" w:hAnsi="黑体" w:eastAsia="黑体" w:cs="Times New Roman"/>
          <w:b w:val="0"/>
          <w:w w:val="100"/>
          <w:sz w:val="28"/>
          <w:highlight w:val="none"/>
          <w:lang w:val="en-US" w:eastAsia="zh-CN" w:bidi="ar-SA"/>
        </w:rPr>
        <w:fldChar w:fldCharType="end"/>
      </w:r>
      <w:bookmarkEnd w:id="14"/>
      <w:r>
        <w:rPr>
          <w:rFonts w:ascii="Times New Roman"/>
          <w:w w:val="100"/>
          <w:sz w:val="28"/>
          <w:highlight w:val="none"/>
        </w:rPr>
        <w:t>  </w:t>
      </w:r>
      <w:r>
        <w:rPr>
          <w:rStyle w:val="231"/>
          <w:rFonts w:hint="eastAsia" w:hAnsi="黑体"/>
          <w:position w:val="0"/>
          <w:highlight w:val="none"/>
        </w:rPr>
        <w:t>发</w:t>
      </w:r>
      <w:r>
        <w:rPr>
          <w:rStyle w:val="231"/>
          <w:rFonts w:hint="eastAsia" w:hAnsi="黑体"/>
          <w:spacing w:val="0"/>
          <w:position w:val="0"/>
          <w:highlight w:val="none"/>
        </w:rPr>
        <w:t>布</w:t>
      </w:r>
    </w:p>
    <w:p>
      <w:pPr>
        <w:rPr>
          <w:rFonts w:ascii="宋体" w:hAnsi="宋体"/>
          <w:sz w:val="28"/>
          <w:szCs w:val="28"/>
          <w:highlight w:val="none"/>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highlight w:val="none"/>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keepNext w:val="0"/>
        <w:keepLines w:val="0"/>
        <w:pageBreakBefore w:val="0"/>
        <w:widowControl w:val="0"/>
        <w:kinsoku/>
        <w:wordWrap/>
        <w:overflowPunct/>
        <w:topLinePunct w:val="0"/>
        <w:autoSpaceDE/>
        <w:autoSpaceDN/>
        <w:bidi w:val="0"/>
        <w:adjustRightInd w:val="0"/>
        <w:snapToGrid/>
        <w:spacing w:before="567" w:after="680" w:afterLines="0"/>
        <w:textAlignment w:val="auto"/>
        <w:rPr>
          <w:rFonts w:hint="eastAsia"/>
          <w:highlight w:val="none"/>
        </w:rPr>
      </w:pPr>
      <w:bookmarkStart w:id="15" w:name="BookMark1"/>
      <w:bookmarkStart w:id="16" w:name="_Toc79045634"/>
      <w:bookmarkStart w:id="17" w:name="_Toc79504496"/>
      <w:bookmarkStart w:id="18" w:name="_Toc14189"/>
      <w:r>
        <w:rPr>
          <w:rFonts w:hint="eastAsia"/>
          <w:spacing w:val="320"/>
          <w:highlight w:val="none"/>
        </w:rPr>
        <w:t>目</w:t>
      </w:r>
      <w:r>
        <w:rPr>
          <w:rFonts w:hint="eastAsia"/>
          <w:highlight w:val="none"/>
        </w:rPr>
        <w:t>次</w:t>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highlight w:val="none"/>
        </w:rPr>
        <w:fldChar w:fldCharType="begin"/>
      </w:r>
      <w:r>
        <w:rPr>
          <w:highlight w:val="none"/>
        </w:rPr>
        <w:instrText xml:space="preserve"> TOC \o "1-1" \h \t "标准文件_一级条标题,2,标准文件_附录一级条标题,2," </w:instrText>
      </w:r>
      <w:r>
        <w:rPr>
          <w:highlight w:val="none"/>
        </w:rPr>
        <w:fldChar w:fldCharType="separate"/>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_Toc13636 </w:instrText>
      </w:r>
      <w:r>
        <w:rPr>
          <w:rFonts w:hint="eastAsia" w:ascii="宋体" w:hAnsi="宋体" w:eastAsia="宋体" w:cs="宋体"/>
          <w:highlight w:val="none"/>
        </w:rPr>
        <w:fldChar w:fldCharType="separate"/>
      </w:r>
      <w:r>
        <w:rPr>
          <w:rFonts w:hint="eastAsia" w:ascii="宋体" w:hAnsi="宋体" w:eastAsia="宋体" w:cs="宋体"/>
          <w:highlight w:val="none"/>
        </w:rPr>
        <w:t>前言</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_Toc13636 \h </w:instrText>
      </w:r>
      <w:r>
        <w:rPr>
          <w:rFonts w:hint="eastAsia" w:ascii="宋体" w:hAnsi="宋体" w:eastAsia="宋体" w:cs="宋体"/>
          <w:highlight w:val="none"/>
        </w:rPr>
        <w:fldChar w:fldCharType="separate"/>
      </w:r>
      <w:r>
        <w:rPr>
          <w:rFonts w:hint="eastAsia" w:ascii="宋体" w:hAnsi="宋体" w:eastAsia="宋体" w:cs="宋体"/>
          <w:highlight w:val="none"/>
        </w:rPr>
        <w:t>III</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_Toc22235 </w:instrText>
      </w:r>
      <w:r>
        <w:rPr>
          <w:rFonts w:hint="eastAsia" w:ascii="宋体" w:hAnsi="宋体" w:eastAsia="宋体" w:cs="宋体"/>
          <w:highlight w:val="none"/>
        </w:rPr>
        <w:fldChar w:fldCharType="separate"/>
      </w:r>
      <w:r>
        <w:rPr>
          <w:rFonts w:hint="eastAsia" w:ascii="宋体" w:hAnsi="宋体" w:eastAsia="宋体" w:cs="宋体"/>
          <w:highlight w:val="none"/>
        </w:rPr>
        <w:t>1 范围</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_Toc22235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_Toc15330 </w:instrText>
      </w:r>
      <w:r>
        <w:rPr>
          <w:rFonts w:hint="eastAsia" w:ascii="宋体" w:hAnsi="宋体" w:eastAsia="宋体" w:cs="宋体"/>
          <w:highlight w:val="none"/>
        </w:rPr>
        <w:fldChar w:fldCharType="separate"/>
      </w:r>
      <w:r>
        <w:rPr>
          <w:rFonts w:hint="eastAsia" w:ascii="宋体" w:hAnsi="宋体" w:eastAsia="宋体" w:cs="宋体"/>
          <w:highlight w:val="none"/>
        </w:rPr>
        <w:t>2 规范性引用文件</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_Toc15330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_Toc1044 </w:instrText>
      </w:r>
      <w:r>
        <w:rPr>
          <w:rFonts w:hint="eastAsia" w:ascii="宋体" w:hAnsi="宋体" w:eastAsia="宋体" w:cs="宋体"/>
          <w:highlight w:val="none"/>
        </w:rPr>
        <w:fldChar w:fldCharType="separate"/>
      </w:r>
      <w:r>
        <w:rPr>
          <w:rFonts w:hint="eastAsia" w:ascii="宋体" w:hAnsi="宋体" w:eastAsia="宋体" w:cs="宋体"/>
          <w:highlight w:val="none"/>
        </w:rPr>
        <w:t>3 术语和定义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_Toc1044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_Toc1944 </w:instrText>
      </w:r>
      <w:r>
        <w:rPr>
          <w:rFonts w:hint="eastAsia" w:ascii="宋体" w:hAnsi="宋体" w:eastAsia="宋体" w:cs="宋体"/>
          <w:highlight w:val="none"/>
        </w:rPr>
        <w:fldChar w:fldCharType="separate"/>
      </w:r>
      <w:r>
        <w:rPr>
          <w:rFonts w:hint="eastAsia" w:ascii="宋体" w:hAnsi="宋体" w:eastAsia="宋体" w:cs="宋体"/>
          <w:highlight w:val="none"/>
        </w:rPr>
        <w:t>4 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_Toc1944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_Toc25331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ascii="宋体" w:hAnsi="宋体" w:eastAsia="宋体" w:cs="宋体"/>
          <w:highlight w:val="none"/>
        </w:rPr>
        <w:t>外观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_Toc25331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_Toc28834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宋体" w:hAnsi="宋体" w:eastAsia="宋体" w:cs="宋体"/>
          <w:highlight w:val="none"/>
        </w:rPr>
        <w:t>基本性能</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_Toc28834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_Toc13319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ascii="宋体" w:hAnsi="宋体" w:eastAsia="宋体" w:cs="宋体"/>
          <w:highlight w:val="none"/>
        </w:rPr>
        <w:t>成膜后性能</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_Toc13319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_Toc368 </w:instrText>
      </w:r>
      <w:r>
        <w:rPr>
          <w:rFonts w:hint="eastAsia" w:ascii="宋体" w:hAnsi="宋体" w:eastAsia="宋体" w:cs="宋体"/>
          <w:highlight w:val="none"/>
        </w:rPr>
        <w:fldChar w:fldCharType="separate"/>
      </w:r>
      <w:r>
        <w:rPr>
          <w:rFonts w:hint="eastAsia" w:ascii="宋体" w:hAnsi="宋体" w:eastAsia="宋体" w:cs="宋体"/>
          <w:highlight w:val="none"/>
        </w:rPr>
        <w:t>5 试验方法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_Toc368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_Toc31642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ascii="宋体" w:hAnsi="宋体" w:eastAsia="宋体" w:cs="宋体"/>
          <w:highlight w:val="none"/>
        </w:rPr>
        <w:t>试验条件</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_Toc31642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_Toc10840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ascii="宋体" w:hAnsi="宋体" w:eastAsia="宋体" w:cs="宋体"/>
          <w:highlight w:val="none"/>
        </w:rPr>
        <w:t>外观检查</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_Toc10840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_Toc14617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ascii="宋体" w:hAnsi="宋体" w:eastAsia="宋体" w:cs="宋体"/>
          <w:highlight w:val="none"/>
        </w:rPr>
        <w:t>固体含量</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_Toc14617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_Toc9179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ascii="宋体" w:hAnsi="宋体" w:eastAsia="宋体" w:cs="宋体"/>
          <w:highlight w:val="none"/>
        </w:rPr>
        <w:t>细度</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_Toc9179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_Toc9910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5.5 </w:t>
      </w:r>
      <w:r>
        <w:rPr>
          <w:rFonts w:hint="eastAsia" w:ascii="宋体" w:hAnsi="宋体" w:eastAsia="宋体" w:cs="宋体"/>
          <w:highlight w:val="none"/>
        </w:rPr>
        <w:t>粘度</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_Toc9910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_Toc31789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5.6 </w:t>
      </w:r>
      <w:r>
        <w:rPr>
          <w:rFonts w:hint="eastAsia" w:ascii="宋体" w:hAnsi="宋体" w:eastAsia="宋体" w:cs="宋体"/>
          <w:highlight w:val="none"/>
        </w:rPr>
        <w:t>体积电阻率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_Toc31789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_Toc11108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5.7 </w:t>
      </w:r>
      <w:r>
        <w:rPr>
          <w:rFonts w:hint="eastAsia" w:ascii="宋体" w:hAnsi="宋体" w:eastAsia="宋体" w:cs="宋体"/>
          <w:highlight w:val="none"/>
        </w:rPr>
        <w:t>接触电阻率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_Toc11108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_Toc29146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5.8 </w:t>
      </w:r>
      <w:r>
        <w:rPr>
          <w:rFonts w:hint="eastAsia" w:ascii="宋体" w:hAnsi="宋体" w:eastAsia="宋体" w:cs="宋体"/>
          <w:highlight w:val="none"/>
        </w:rPr>
        <w:t>可焊性</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_Toc29146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_Toc14676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5.9 </w:t>
      </w:r>
      <w:r>
        <w:rPr>
          <w:rFonts w:hint="eastAsia" w:ascii="宋体" w:hAnsi="宋体" w:eastAsia="宋体" w:cs="宋体"/>
          <w:highlight w:val="none"/>
        </w:rPr>
        <w:t>附着力</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_Toc14676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_Toc3266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5.10 </w:t>
      </w:r>
      <w:r>
        <w:rPr>
          <w:rFonts w:hint="eastAsia" w:ascii="宋体" w:hAnsi="宋体" w:eastAsia="宋体" w:cs="宋体"/>
          <w:highlight w:val="none"/>
        </w:rPr>
        <w:t>老化试验</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_Toc3266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_Toc26003 </w:instrText>
      </w:r>
      <w:r>
        <w:rPr>
          <w:rFonts w:hint="eastAsia" w:ascii="宋体" w:hAnsi="宋体" w:eastAsia="宋体" w:cs="宋体"/>
          <w:highlight w:val="none"/>
        </w:rPr>
        <w:fldChar w:fldCharType="separate"/>
      </w:r>
      <w:r>
        <w:rPr>
          <w:rFonts w:hint="eastAsia" w:ascii="宋体" w:hAnsi="宋体" w:eastAsia="宋体" w:cs="宋体"/>
          <w:highlight w:val="none"/>
        </w:rPr>
        <w:t>6 检验规则</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_Toc26003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_Toc12226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ascii="宋体" w:hAnsi="宋体" w:eastAsia="宋体" w:cs="宋体"/>
          <w:highlight w:val="none"/>
        </w:rPr>
        <w:t>检验分类</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_Toc12226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_Toc10629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ascii="宋体" w:hAnsi="宋体" w:eastAsia="宋体" w:cs="宋体"/>
          <w:highlight w:val="none"/>
        </w:rPr>
        <w:t>型式检验</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_Toc10629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_Toc28858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ascii="宋体" w:hAnsi="宋体" w:eastAsia="宋体" w:cs="宋体"/>
          <w:highlight w:val="none"/>
        </w:rPr>
        <w:t>出厂检验</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_Toc28858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_Toc1359 </w:instrText>
      </w:r>
      <w:r>
        <w:rPr>
          <w:rFonts w:hint="eastAsia" w:ascii="宋体" w:hAnsi="宋体" w:eastAsia="宋体" w:cs="宋体"/>
          <w:highlight w:val="none"/>
        </w:rPr>
        <w:fldChar w:fldCharType="separate"/>
      </w:r>
      <w:r>
        <w:rPr>
          <w:rFonts w:hint="eastAsia" w:ascii="宋体" w:hAnsi="宋体" w:eastAsia="宋体" w:cs="宋体"/>
          <w:highlight w:val="none"/>
        </w:rPr>
        <w:t>7 标志、包装、运输、贮存、质量证明书</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_Toc1359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_Toc12769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ascii="宋体" w:hAnsi="宋体" w:eastAsia="宋体" w:cs="宋体"/>
          <w:highlight w:val="none"/>
        </w:rPr>
        <w:t>标志</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_Toc12769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_Toc12907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ascii="宋体" w:hAnsi="宋体" w:eastAsia="宋体" w:cs="宋体"/>
          <w:highlight w:val="none"/>
        </w:rPr>
        <w:t>包装</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_Toc12907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_Toc3706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ascii="宋体" w:hAnsi="宋体" w:eastAsia="宋体" w:cs="宋体"/>
          <w:highlight w:val="none"/>
        </w:rPr>
        <w:t>运输</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_Toc3706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_Toc20474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ascii="宋体" w:hAnsi="宋体" w:eastAsia="宋体" w:cs="宋体"/>
          <w:highlight w:val="none"/>
        </w:rPr>
        <w:t>贮存</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_Toc20474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_Toc32356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7.5 </w:t>
      </w:r>
      <w:r>
        <w:rPr>
          <w:rFonts w:hint="eastAsia" w:ascii="宋体" w:hAnsi="宋体" w:eastAsia="宋体" w:cs="宋体"/>
          <w:highlight w:val="none"/>
        </w:rPr>
        <w:t>质量证明书</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_Toc32356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_Toc32403 </w:instrText>
      </w:r>
      <w:r>
        <w:rPr>
          <w:rFonts w:hint="eastAsia" w:ascii="宋体" w:hAnsi="宋体" w:eastAsia="宋体" w:cs="宋体"/>
          <w:highlight w:val="none"/>
        </w:rPr>
        <w:fldChar w:fldCharType="separate"/>
      </w:r>
      <w:r>
        <w:rPr>
          <w:rFonts w:hint="eastAsia" w:ascii="宋体" w:hAnsi="宋体" w:eastAsia="宋体" w:cs="宋体"/>
          <w:highlight w:val="none"/>
        </w:rPr>
        <w:t xml:space="preserve">附录A（规范性） </w:t>
      </w:r>
      <w:r>
        <w:rPr>
          <w:rFonts w:hint="eastAsia" w:hAnsi="宋体" w:cs="宋体"/>
          <w:highlight w:val="none"/>
          <w:lang w:val="en-US" w:eastAsia="zh-CN"/>
        </w:rPr>
        <w:t xml:space="preserve"> </w:t>
      </w:r>
      <w:r>
        <w:rPr>
          <w:rFonts w:hint="eastAsia" w:ascii="宋体" w:hAnsi="宋体" w:eastAsia="宋体" w:cs="宋体"/>
          <w:highlight w:val="none"/>
        </w:rPr>
        <w:t>体积电阻率测试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_Toc32403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_Toc28460 </w:instrText>
      </w:r>
      <w:r>
        <w:rPr>
          <w:rFonts w:hint="eastAsia" w:ascii="宋体" w:hAnsi="宋体" w:eastAsia="宋体" w:cs="宋体"/>
          <w:highlight w:val="none"/>
        </w:rPr>
        <w:fldChar w:fldCharType="separate"/>
      </w:r>
      <w:r>
        <w:rPr>
          <w:rFonts w:hint="eastAsia" w:ascii="宋体" w:hAnsi="宋体" w:eastAsia="宋体" w:cs="宋体"/>
          <w:i w:val="0"/>
          <w:kern w:val="0"/>
          <w:szCs w:val="20"/>
          <w:highlight w:val="none"/>
        </w:rPr>
        <w:t xml:space="preserve">A.1 </w:t>
      </w:r>
      <w:r>
        <w:rPr>
          <w:rFonts w:hint="eastAsia" w:ascii="宋体" w:hAnsi="宋体" w:eastAsia="宋体" w:cs="宋体"/>
          <w:kern w:val="0"/>
          <w:szCs w:val="20"/>
          <w:highlight w:val="none"/>
        </w:rPr>
        <w:t>范围</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_Toc28460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_Toc20384 </w:instrText>
      </w:r>
      <w:r>
        <w:rPr>
          <w:rFonts w:hint="eastAsia" w:ascii="宋体" w:hAnsi="宋体" w:eastAsia="宋体" w:cs="宋体"/>
          <w:highlight w:val="none"/>
        </w:rPr>
        <w:fldChar w:fldCharType="separate"/>
      </w:r>
      <w:r>
        <w:rPr>
          <w:rFonts w:hint="eastAsia" w:ascii="宋体" w:hAnsi="宋体" w:eastAsia="宋体" w:cs="宋体"/>
          <w:i w:val="0"/>
          <w:kern w:val="0"/>
          <w:szCs w:val="20"/>
          <w:highlight w:val="none"/>
        </w:rPr>
        <w:t xml:space="preserve">A.2 </w:t>
      </w:r>
      <w:r>
        <w:rPr>
          <w:rFonts w:hint="eastAsia" w:ascii="宋体" w:hAnsi="宋体" w:eastAsia="宋体" w:cs="宋体"/>
          <w:kern w:val="0"/>
          <w:szCs w:val="20"/>
          <w:highlight w:val="none"/>
        </w:rPr>
        <w:t>仪器与设备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_Toc20384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_Toc18040 </w:instrText>
      </w:r>
      <w:r>
        <w:rPr>
          <w:rFonts w:hint="eastAsia" w:ascii="宋体" w:hAnsi="宋体" w:eastAsia="宋体" w:cs="宋体"/>
          <w:highlight w:val="none"/>
        </w:rPr>
        <w:fldChar w:fldCharType="separate"/>
      </w:r>
      <w:r>
        <w:rPr>
          <w:rFonts w:hint="eastAsia" w:ascii="宋体" w:hAnsi="宋体" w:eastAsia="宋体" w:cs="宋体"/>
          <w:i w:val="0"/>
          <w:kern w:val="0"/>
          <w:szCs w:val="20"/>
          <w:highlight w:val="none"/>
        </w:rPr>
        <w:t xml:space="preserve">A.3 </w:t>
      </w:r>
      <w:r>
        <w:rPr>
          <w:rFonts w:hint="eastAsia" w:ascii="宋体" w:hAnsi="宋体" w:eastAsia="宋体" w:cs="宋体"/>
          <w:kern w:val="0"/>
          <w:szCs w:val="20"/>
          <w:highlight w:val="none"/>
        </w:rPr>
        <w:t>材料</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_Toc18040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_Toc19589 </w:instrText>
      </w:r>
      <w:r>
        <w:rPr>
          <w:rFonts w:hint="eastAsia" w:ascii="宋体" w:hAnsi="宋体" w:eastAsia="宋体" w:cs="宋体"/>
          <w:highlight w:val="none"/>
        </w:rPr>
        <w:fldChar w:fldCharType="separate"/>
      </w:r>
      <w:r>
        <w:rPr>
          <w:rFonts w:hint="eastAsia" w:ascii="宋体" w:hAnsi="宋体" w:eastAsia="宋体" w:cs="宋体"/>
          <w:i w:val="0"/>
          <w:kern w:val="0"/>
          <w:szCs w:val="20"/>
          <w:highlight w:val="none"/>
        </w:rPr>
        <w:t xml:space="preserve">A.4 </w:t>
      </w:r>
      <w:r>
        <w:rPr>
          <w:rFonts w:hint="eastAsia" w:ascii="宋体" w:hAnsi="宋体" w:eastAsia="宋体" w:cs="宋体"/>
          <w:kern w:val="0"/>
          <w:szCs w:val="20"/>
          <w:highlight w:val="none"/>
        </w:rPr>
        <w:t>试样制备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_Toc19589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_Toc8458 </w:instrText>
      </w:r>
      <w:r>
        <w:rPr>
          <w:rFonts w:hint="eastAsia" w:ascii="宋体" w:hAnsi="宋体" w:eastAsia="宋体" w:cs="宋体"/>
          <w:highlight w:val="none"/>
        </w:rPr>
        <w:fldChar w:fldCharType="separate"/>
      </w:r>
      <w:r>
        <w:rPr>
          <w:rFonts w:hint="eastAsia" w:ascii="宋体" w:hAnsi="宋体" w:eastAsia="宋体" w:cs="宋体"/>
          <w:i w:val="0"/>
          <w:kern w:val="0"/>
          <w:szCs w:val="20"/>
          <w:highlight w:val="none"/>
        </w:rPr>
        <w:t xml:space="preserve">A.5 </w:t>
      </w:r>
      <w:r>
        <w:rPr>
          <w:rFonts w:hint="eastAsia" w:ascii="宋体" w:hAnsi="宋体" w:eastAsia="宋体" w:cs="宋体"/>
          <w:kern w:val="0"/>
          <w:szCs w:val="20"/>
          <w:highlight w:val="none"/>
        </w:rPr>
        <w:t>体积电阻率的测试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_Toc8458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_Toc15402 </w:instrText>
      </w:r>
      <w:r>
        <w:rPr>
          <w:rFonts w:hint="eastAsia" w:ascii="宋体" w:hAnsi="宋体" w:eastAsia="宋体" w:cs="宋体"/>
          <w:highlight w:val="none"/>
        </w:rPr>
        <w:fldChar w:fldCharType="separate"/>
      </w:r>
      <w:r>
        <w:rPr>
          <w:rFonts w:hint="eastAsia" w:ascii="宋体" w:hAnsi="宋体" w:eastAsia="宋体" w:cs="宋体"/>
          <w:i w:val="0"/>
          <w:kern w:val="0"/>
          <w:szCs w:val="20"/>
          <w:highlight w:val="none"/>
        </w:rPr>
        <w:t xml:space="preserve">A.6 </w:t>
      </w:r>
      <w:r>
        <w:rPr>
          <w:rFonts w:hint="eastAsia" w:ascii="宋体" w:hAnsi="宋体" w:eastAsia="宋体" w:cs="宋体"/>
          <w:kern w:val="0"/>
          <w:szCs w:val="20"/>
          <w:highlight w:val="none"/>
        </w:rPr>
        <w:t>测试结果处理</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_Toc15402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_Toc31408 </w:instrText>
      </w:r>
      <w:r>
        <w:rPr>
          <w:rFonts w:hint="eastAsia" w:ascii="宋体" w:hAnsi="宋体" w:eastAsia="宋体" w:cs="宋体"/>
          <w:highlight w:val="none"/>
        </w:rPr>
        <w:fldChar w:fldCharType="separate"/>
      </w:r>
      <w:r>
        <w:rPr>
          <w:rFonts w:hint="eastAsia" w:ascii="宋体" w:hAnsi="宋体" w:eastAsia="宋体" w:cs="宋体"/>
          <w:highlight w:val="none"/>
        </w:rPr>
        <w:t>附录B（规范性）</w:t>
      </w:r>
      <w:r>
        <w:rPr>
          <w:rFonts w:hint="eastAsia" w:hAnsi="宋体" w:cs="宋体"/>
          <w:highlight w:val="none"/>
          <w:lang w:val="en-US" w:eastAsia="zh-CN"/>
        </w:rPr>
        <w:t xml:space="preserve"> </w:t>
      </w:r>
      <w:r>
        <w:rPr>
          <w:rFonts w:hint="eastAsia" w:ascii="宋体" w:hAnsi="宋体" w:eastAsia="宋体" w:cs="宋体"/>
          <w:highlight w:val="none"/>
        </w:rPr>
        <w:t xml:space="preserve"> 接触电阻率测试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_Toc31408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_Toc16794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B.1 </w:t>
      </w:r>
      <w:r>
        <w:rPr>
          <w:rFonts w:hint="eastAsia" w:ascii="宋体" w:hAnsi="宋体" w:eastAsia="宋体" w:cs="宋体"/>
          <w:highlight w:val="none"/>
        </w:rPr>
        <w:t>范围</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_Toc16794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_Toc3801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B.2 </w:t>
      </w:r>
      <w:r>
        <w:rPr>
          <w:rFonts w:hint="eastAsia" w:ascii="宋体" w:hAnsi="宋体" w:eastAsia="宋体" w:cs="宋体"/>
          <w:highlight w:val="none"/>
        </w:rPr>
        <w:t>仪器与设备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_Toc3801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_Toc1237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B.3 </w:t>
      </w:r>
      <w:r>
        <w:rPr>
          <w:rFonts w:hint="eastAsia" w:ascii="宋体" w:hAnsi="宋体" w:eastAsia="宋体" w:cs="宋体"/>
          <w:kern w:val="0"/>
          <w:szCs w:val="20"/>
          <w:highlight w:val="none"/>
        </w:rPr>
        <w:t>材料</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_Toc1237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_Toc32423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B.4 </w:t>
      </w:r>
      <w:r>
        <w:rPr>
          <w:rFonts w:hint="eastAsia" w:ascii="宋体" w:hAnsi="宋体" w:eastAsia="宋体" w:cs="宋体"/>
          <w:highlight w:val="none"/>
        </w:rPr>
        <w:t>试样</w:t>
      </w:r>
      <w:r>
        <w:rPr>
          <w:rFonts w:hint="eastAsia" w:ascii="宋体" w:hAnsi="宋体" w:eastAsia="宋体" w:cs="宋体"/>
          <w:kern w:val="0"/>
          <w:szCs w:val="20"/>
          <w:highlight w:val="none"/>
        </w:rPr>
        <w:t>制备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_Toc32423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_Toc24334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B.5 </w:t>
      </w:r>
      <w:r>
        <w:rPr>
          <w:rFonts w:hint="eastAsia" w:ascii="宋体" w:hAnsi="宋体" w:eastAsia="宋体" w:cs="宋体"/>
          <w:highlight w:val="none"/>
        </w:rPr>
        <w:t>接触电阻率的测试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_Toc24334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_Toc28851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B.6 </w:t>
      </w:r>
      <w:r>
        <w:rPr>
          <w:rFonts w:hint="eastAsia" w:ascii="宋体" w:hAnsi="宋体" w:eastAsia="宋体" w:cs="宋体"/>
          <w:highlight w:val="none"/>
        </w:rPr>
        <w:t>测试</w:t>
      </w:r>
      <w:r>
        <w:rPr>
          <w:rFonts w:hint="eastAsia" w:ascii="宋体" w:hAnsi="宋体" w:eastAsia="宋体" w:cs="宋体"/>
          <w:kern w:val="0"/>
          <w:szCs w:val="20"/>
          <w:highlight w:val="none"/>
        </w:rPr>
        <w:t>结果</w:t>
      </w:r>
      <w:r>
        <w:rPr>
          <w:rFonts w:hint="eastAsia" w:ascii="宋体" w:hAnsi="宋体" w:eastAsia="宋体" w:cs="宋体"/>
          <w:highlight w:val="none"/>
        </w:rPr>
        <w:t>处理</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_Toc28851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_Toc3555 </w:instrText>
      </w:r>
      <w:r>
        <w:rPr>
          <w:rFonts w:hint="eastAsia" w:ascii="宋体" w:hAnsi="宋体" w:eastAsia="宋体" w:cs="宋体"/>
          <w:highlight w:val="none"/>
        </w:rPr>
        <w:fldChar w:fldCharType="separate"/>
      </w:r>
      <w:r>
        <w:rPr>
          <w:rFonts w:hint="eastAsia" w:ascii="宋体" w:hAnsi="宋体" w:eastAsia="宋体" w:cs="宋体"/>
          <w:highlight w:val="none"/>
        </w:rPr>
        <w:t xml:space="preserve">附录C(规范性) </w:t>
      </w:r>
      <w:r>
        <w:rPr>
          <w:rFonts w:hint="eastAsia" w:hAnsi="宋体" w:cs="宋体"/>
          <w:highlight w:val="none"/>
          <w:lang w:val="en-US" w:eastAsia="zh-CN"/>
        </w:rPr>
        <w:t xml:space="preserve"> </w:t>
      </w:r>
      <w:r>
        <w:rPr>
          <w:rFonts w:hint="eastAsia" w:ascii="宋体" w:hAnsi="宋体" w:eastAsia="宋体" w:cs="宋体"/>
          <w:highlight w:val="none"/>
        </w:rPr>
        <w:t>主栅附着力试验</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_Toc3555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_Toc16358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C.1 </w:t>
      </w:r>
      <w:r>
        <w:rPr>
          <w:rFonts w:hint="eastAsia" w:ascii="宋体" w:hAnsi="宋体" w:eastAsia="宋体" w:cs="宋体"/>
          <w:highlight w:val="none"/>
        </w:rPr>
        <w:t>范围</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_Toc16358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_Toc19798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C.2 </w:t>
      </w:r>
      <w:r>
        <w:rPr>
          <w:rFonts w:hint="eastAsia" w:ascii="宋体" w:hAnsi="宋体" w:eastAsia="宋体" w:cs="宋体"/>
          <w:highlight w:val="none"/>
        </w:rPr>
        <w:t>仪器与设备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_Toc19798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_Toc14858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C.3 </w:t>
      </w:r>
      <w:r>
        <w:rPr>
          <w:rFonts w:hint="eastAsia" w:ascii="宋体" w:hAnsi="宋体" w:eastAsia="宋体" w:cs="宋体"/>
          <w:kern w:val="0"/>
          <w:szCs w:val="20"/>
          <w:highlight w:val="none"/>
        </w:rPr>
        <w:t>材料</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_Toc14858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_Toc30353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C.4 </w:t>
      </w:r>
      <w:r>
        <w:rPr>
          <w:rFonts w:hint="eastAsia" w:ascii="宋体" w:hAnsi="宋体" w:eastAsia="宋体" w:cs="宋体"/>
          <w:highlight w:val="none"/>
        </w:rPr>
        <w:t>试样</w:t>
      </w:r>
      <w:r>
        <w:rPr>
          <w:rFonts w:hint="eastAsia" w:ascii="宋体" w:hAnsi="宋体" w:eastAsia="宋体" w:cs="宋体"/>
          <w:kern w:val="0"/>
          <w:szCs w:val="20"/>
          <w:highlight w:val="none"/>
        </w:rPr>
        <w:t>制备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_Toc30353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_Toc13320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C.5 </w:t>
      </w:r>
      <w:r>
        <w:rPr>
          <w:rFonts w:hint="eastAsia" w:ascii="宋体" w:hAnsi="宋体" w:eastAsia="宋体" w:cs="宋体"/>
          <w:highlight w:val="none"/>
        </w:rPr>
        <w:t>附着力测试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_Toc13320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_Toc29108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C.6 </w:t>
      </w:r>
      <w:r>
        <w:rPr>
          <w:rFonts w:hint="eastAsia" w:ascii="宋体" w:hAnsi="宋体" w:eastAsia="宋体" w:cs="宋体"/>
          <w:highlight w:val="none"/>
        </w:rPr>
        <w:t>测试结果</w:t>
      </w:r>
      <w:r>
        <w:rPr>
          <w:rFonts w:hint="eastAsia" w:ascii="宋体" w:hAnsi="宋体" w:eastAsia="宋体" w:cs="宋体"/>
          <w:kern w:val="0"/>
          <w:szCs w:val="20"/>
          <w:highlight w:val="none"/>
        </w:rPr>
        <w:t>处理</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_Toc29108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_Toc10474 </w:instrText>
      </w:r>
      <w:r>
        <w:rPr>
          <w:rFonts w:hint="eastAsia" w:ascii="宋体" w:hAnsi="宋体" w:eastAsia="宋体" w:cs="宋体"/>
          <w:highlight w:val="none"/>
        </w:rPr>
        <w:fldChar w:fldCharType="separate"/>
      </w:r>
      <w:r>
        <w:rPr>
          <w:rFonts w:hint="eastAsia" w:ascii="宋体" w:hAnsi="宋体" w:eastAsia="宋体" w:cs="宋体"/>
          <w:highlight w:val="none"/>
        </w:rPr>
        <w:t xml:space="preserve">附录D(规范性) </w:t>
      </w:r>
      <w:r>
        <w:rPr>
          <w:rFonts w:hint="eastAsia" w:hAnsi="宋体" w:cs="宋体"/>
          <w:highlight w:val="none"/>
          <w:lang w:val="en-US" w:eastAsia="zh-CN"/>
        </w:rPr>
        <w:t xml:space="preserve"> </w:t>
      </w:r>
      <w:r>
        <w:rPr>
          <w:rFonts w:hint="eastAsia" w:ascii="宋体" w:hAnsi="宋体" w:eastAsia="宋体" w:cs="宋体"/>
          <w:highlight w:val="none"/>
        </w:rPr>
        <w:t>副栅附着力试验</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_Toc10474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_Toc31560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D.1 </w:t>
      </w:r>
      <w:r>
        <w:rPr>
          <w:rFonts w:hint="eastAsia" w:ascii="宋体" w:hAnsi="宋体" w:eastAsia="宋体" w:cs="宋体"/>
          <w:highlight w:val="none"/>
        </w:rPr>
        <w:t>范围</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_Toc31560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_Toc540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D.2 </w:t>
      </w:r>
      <w:r>
        <w:rPr>
          <w:rFonts w:hint="eastAsia" w:ascii="宋体" w:hAnsi="宋体" w:eastAsia="宋体" w:cs="宋体"/>
          <w:highlight w:val="none"/>
        </w:rPr>
        <w:t>仪器与设备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_Toc540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_Toc520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D.3 </w:t>
      </w:r>
      <w:r>
        <w:rPr>
          <w:rFonts w:hint="eastAsia" w:ascii="宋体" w:hAnsi="宋体" w:eastAsia="宋体" w:cs="宋体"/>
          <w:highlight w:val="none"/>
        </w:rPr>
        <w:t>材料</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_Toc520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_Toc23166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D.4 </w:t>
      </w:r>
      <w:r>
        <w:rPr>
          <w:rFonts w:hint="eastAsia" w:ascii="宋体" w:hAnsi="宋体" w:eastAsia="宋体" w:cs="宋体"/>
          <w:highlight w:val="none"/>
        </w:rPr>
        <w:t>试样</w:t>
      </w:r>
      <w:r>
        <w:rPr>
          <w:rFonts w:hint="eastAsia" w:ascii="宋体" w:hAnsi="宋体" w:eastAsia="宋体" w:cs="宋体"/>
          <w:kern w:val="0"/>
          <w:szCs w:val="20"/>
          <w:highlight w:val="none"/>
        </w:rPr>
        <w:t>制备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_Toc23166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_Toc18455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D.5 </w:t>
      </w:r>
      <w:r>
        <w:rPr>
          <w:rFonts w:hint="eastAsia" w:ascii="宋体" w:hAnsi="宋体" w:eastAsia="宋体" w:cs="宋体"/>
          <w:kern w:val="0"/>
          <w:szCs w:val="20"/>
          <w:highlight w:val="none"/>
        </w:rPr>
        <w:t>附着力</w:t>
      </w:r>
      <w:r>
        <w:rPr>
          <w:rFonts w:hint="eastAsia" w:ascii="宋体" w:hAnsi="宋体" w:eastAsia="宋体" w:cs="宋体"/>
          <w:highlight w:val="none"/>
        </w:rPr>
        <w:t>测试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_Toc18455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93"/>
        <w:keepNext w:val="0"/>
        <w:keepLines w:val="0"/>
        <w:pageBreakBefore w:val="0"/>
        <w:widowControl w:val="0"/>
        <w:kinsoku/>
        <w:wordWrap/>
        <w:overflowPunct/>
        <w:topLinePunct w:val="0"/>
        <w:autoSpaceDE/>
        <w:autoSpaceDN/>
        <w:bidi w:val="0"/>
        <w:adjustRightInd w:val="0"/>
        <w:snapToGrid/>
        <w:spacing w:after="0" w:afterLines="0" w:line="240" w:lineRule="auto"/>
        <w:textAlignment w:val="auto"/>
        <w:rPr>
          <w:highlight w:val="none"/>
        </w:rPr>
        <w:sectPr>
          <w:headerReference r:id="rId9" w:type="default"/>
          <w:footerReference r:id="rId11" w:type="default"/>
          <w:headerReference r:id="rId10" w:type="even"/>
          <w:footerReference r:id="rId12" w:type="even"/>
          <w:pgSz w:w="11906" w:h="16838"/>
          <w:pgMar w:top="567" w:right="1134" w:bottom="1134" w:left="1134" w:header="1418" w:footer="1134" w:gutter="284"/>
          <w:pgNumType w:fmt="upperRoman" w:start="1"/>
          <w:cols w:space="425" w:num="1"/>
          <w:formProt w:val="0"/>
          <w:docGrid w:linePitch="312" w:charSpace="0"/>
        </w:sectPr>
      </w:pPr>
      <w:r>
        <w:rPr>
          <w:highlight w:val="none"/>
        </w:rPr>
        <w:fldChar w:fldCharType="end"/>
      </w:r>
    </w:p>
    <w:bookmarkEnd w:id="15"/>
    <w:p>
      <w:pPr>
        <w:pStyle w:val="91"/>
        <w:keepNext w:val="0"/>
        <w:keepLines w:val="0"/>
        <w:pageBreakBefore w:val="0"/>
        <w:widowControl/>
        <w:kinsoku/>
        <w:wordWrap/>
        <w:overflowPunct/>
        <w:topLinePunct w:val="0"/>
        <w:autoSpaceDE/>
        <w:autoSpaceDN/>
        <w:bidi w:val="0"/>
        <w:adjustRightInd/>
        <w:snapToGrid/>
        <w:spacing w:before="567" w:after="680" w:afterLines="0"/>
        <w:ind w:left="425" w:hanging="425"/>
        <w:textAlignment w:val="auto"/>
        <w:rPr>
          <w:highlight w:val="none"/>
        </w:rPr>
      </w:pPr>
      <w:bookmarkStart w:id="19" w:name="_Toc13636"/>
      <w:bookmarkStart w:id="20" w:name="BookMark2"/>
      <w:r>
        <w:rPr>
          <w:spacing w:val="320"/>
          <w:highlight w:val="none"/>
        </w:rPr>
        <w:t>前</w:t>
      </w:r>
      <w:r>
        <w:rPr>
          <w:highlight w:val="none"/>
        </w:rPr>
        <w:t>言</w:t>
      </w:r>
      <w:bookmarkEnd w:id="16"/>
      <w:bookmarkEnd w:id="17"/>
      <w:bookmarkEnd w:id="18"/>
      <w:bookmarkEnd w:id="19"/>
    </w:p>
    <w:p>
      <w:pPr>
        <w:pStyle w:val="58"/>
        <w:ind w:firstLine="420"/>
        <w:rPr>
          <w:highlight w:val="none"/>
        </w:rPr>
      </w:pPr>
      <w:r>
        <w:rPr>
          <w:rFonts w:hint="eastAsia"/>
          <w:highlight w:val="none"/>
        </w:rPr>
        <w:t>本文件按照GB/T 1.1—2020《标准化工作导则  第1部分：标准化文件的结构和起草规则》的规定起草。</w:t>
      </w:r>
    </w:p>
    <w:p>
      <w:pPr>
        <w:pStyle w:val="58"/>
        <w:ind w:firstLine="420"/>
        <w:rPr>
          <w:rFonts w:hint="eastAsia"/>
          <w:highlight w:val="none"/>
          <w:lang w:val="en-US" w:eastAsia="zh-CN"/>
        </w:rPr>
      </w:pPr>
      <w:r>
        <w:rPr>
          <w:rFonts w:hint="eastAsia"/>
          <w:highlight w:val="none"/>
          <w:lang w:val="en-US" w:eastAsia="zh-CN"/>
        </w:rPr>
        <w:t>T/CPIA 0030《晶体硅光伏电池用浆料》分为如下部分：</w:t>
      </w:r>
    </w:p>
    <w:p>
      <w:pPr>
        <w:pStyle w:val="58"/>
        <w:ind w:firstLine="420"/>
        <w:rPr>
          <w:rFonts w:hint="eastAsia"/>
          <w:highlight w:val="none"/>
          <w:lang w:val="en-US" w:eastAsia="zh-CN"/>
        </w:rPr>
      </w:pPr>
      <w:r>
        <w:rPr>
          <w:rFonts w:hint="eastAsia"/>
          <w:highlight w:val="none"/>
          <w:lang w:val="en-US" w:eastAsia="zh-CN"/>
        </w:rPr>
        <w:t>——第1部分：背场铝浆 烧结型铝浆；</w:t>
      </w:r>
    </w:p>
    <w:p>
      <w:pPr>
        <w:pStyle w:val="58"/>
        <w:ind w:firstLine="420"/>
        <w:rPr>
          <w:rFonts w:hint="eastAsia"/>
          <w:highlight w:val="none"/>
          <w:lang w:val="en-US" w:eastAsia="zh-CN"/>
        </w:rPr>
      </w:pPr>
      <w:r>
        <w:rPr>
          <w:rFonts w:hint="eastAsia"/>
          <w:highlight w:val="none"/>
          <w:lang w:val="en-US" w:eastAsia="zh-CN"/>
        </w:rPr>
        <w:t>——第2部分：背面银浆 烧结型银浆；</w:t>
      </w:r>
    </w:p>
    <w:p>
      <w:pPr>
        <w:pStyle w:val="58"/>
        <w:ind w:firstLine="420"/>
        <w:rPr>
          <w:rFonts w:hint="eastAsia"/>
          <w:highlight w:val="none"/>
          <w:lang w:val="en-US" w:eastAsia="zh-CN"/>
        </w:rPr>
      </w:pPr>
      <w:r>
        <w:rPr>
          <w:rFonts w:hint="eastAsia"/>
          <w:highlight w:val="none"/>
          <w:lang w:val="en-US" w:eastAsia="zh-CN"/>
        </w:rPr>
        <w:t>——第3部分：正面银浆 烧结型银浆；</w:t>
      </w:r>
    </w:p>
    <w:p>
      <w:pPr>
        <w:pStyle w:val="58"/>
        <w:ind w:firstLine="420"/>
        <w:rPr>
          <w:rFonts w:hint="eastAsia"/>
          <w:highlight w:val="none"/>
          <w:lang w:val="en-US" w:eastAsia="zh-CN"/>
        </w:rPr>
      </w:pPr>
      <w:r>
        <w:rPr>
          <w:rFonts w:hint="eastAsia"/>
          <w:highlight w:val="none"/>
          <w:lang w:val="en-US" w:eastAsia="zh-CN"/>
        </w:rPr>
        <w:t>——第4部分：正面和背面银浆 固化型银浆。</w:t>
      </w:r>
    </w:p>
    <w:p>
      <w:pPr>
        <w:pStyle w:val="58"/>
        <w:ind w:firstLine="420"/>
        <w:rPr>
          <w:rFonts w:hint="eastAsia"/>
          <w:highlight w:val="none"/>
          <w:lang w:val="en-US" w:eastAsia="zh-CN"/>
        </w:rPr>
      </w:pPr>
      <w:r>
        <w:rPr>
          <w:rFonts w:hint="eastAsia"/>
          <w:highlight w:val="none"/>
          <w:lang w:val="en-US" w:eastAsia="zh-CN"/>
        </w:rPr>
        <w:t>本文件是T/CPIA 0030的第4部分。</w:t>
      </w:r>
    </w:p>
    <w:p>
      <w:pPr>
        <w:pStyle w:val="58"/>
        <w:ind w:firstLine="420"/>
        <w:rPr>
          <w:rFonts w:hint="eastAsia" w:eastAsia="宋体"/>
          <w:highlight w:val="none"/>
          <w:lang w:val="en-US" w:eastAsia="zh-CN"/>
        </w:rPr>
      </w:pPr>
      <w:r>
        <w:rPr>
          <w:rFonts w:hint="eastAsia"/>
          <w:highlight w:val="none"/>
          <w:lang w:val="en-US" w:eastAsia="zh-CN"/>
        </w:rPr>
        <w:t>请注意本文件的某些内容可能涉及专利。本文件的发布机构不承担识别专利的责任。</w:t>
      </w:r>
    </w:p>
    <w:p>
      <w:pPr>
        <w:pStyle w:val="58"/>
        <w:ind w:firstLine="420"/>
        <w:rPr>
          <w:highlight w:val="none"/>
        </w:rPr>
      </w:pPr>
      <w:r>
        <w:rPr>
          <w:rFonts w:hint="eastAsia"/>
          <w:highlight w:val="none"/>
        </w:rPr>
        <w:t>本文件由</w:t>
      </w:r>
      <w:r>
        <w:rPr>
          <w:rFonts w:hint="eastAsia"/>
          <w:highlight w:val="none"/>
          <w:lang w:eastAsia="zh-CN"/>
        </w:rPr>
        <w:t>中国光伏行业协会标准化技术委员会</w:t>
      </w:r>
      <w:r>
        <w:rPr>
          <w:rFonts w:hint="eastAsia"/>
          <w:highlight w:val="none"/>
        </w:rPr>
        <w:t>归口。</w:t>
      </w:r>
    </w:p>
    <w:p>
      <w:pPr>
        <w:pStyle w:val="58"/>
        <w:ind w:firstLine="420"/>
        <w:rPr>
          <w:highlight w:val="none"/>
        </w:rPr>
      </w:pPr>
      <w:r>
        <w:rPr>
          <w:rFonts w:hint="eastAsia"/>
          <w:highlight w:val="none"/>
        </w:rPr>
        <w:t>本文件起草单位：</w:t>
      </w:r>
    </w:p>
    <w:p>
      <w:pPr>
        <w:pStyle w:val="58"/>
        <w:ind w:firstLine="420"/>
        <w:rPr>
          <w:highlight w:val="none"/>
        </w:rPr>
      </w:pPr>
      <w:r>
        <w:rPr>
          <w:rFonts w:hint="eastAsia"/>
          <w:highlight w:val="none"/>
        </w:rPr>
        <w:t>本文件主要起草人：</w:t>
      </w:r>
    </w:p>
    <w:p>
      <w:pPr>
        <w:pStyle w:val="58"/>
        <w:ind w:firstLine="420"/>
        <w:rPr>
          <w:highlight w:val="none"/>
        </w:rPr>
      </w:pPr>
    </w:p>
    <w:p>
      <w:pPr>
        <w:pStyle w:val="58"/>
        <w:ind w:firstLine="420"/>
        <w:rPr>
          <w:highlight w:val="none"/>
        </w:rPr>
        <w:sectPr>
          <w:headerReference r:id="rId13" w:type="default"/>
          <w:footerReference r:id="rId15" w:type="default"/>
          <w:headerReference r:id="rId14" w:type="even"/>
          <w:footerReference r:id="rId16" w:type="even"/>
          <w:pgSz w:w="11906" w:h="16838"/>
          <w:pgMar w:top="567" w:right="1134" w:bottom="1134" w:left="1134" w:header="1418" w:footer="1134" w:gutter="284"/>
          <w:pgNumType w:fmt="upperRoman" w:start="3"/>
          <w:cols w:space="425" w:num="1"/>
          <w:formProt w:val="0"/>
          <w:docGrid w:linePitch="312" w:charSpace="0"/>
        </w:sectPr>
      </w:pPr>
    </w:p>
    <w:bookmarkEnd w:id="20"/>
    <w:sdt>
      <w:sdtPr>
        <w:rPr>
          <w:highlight w:val="none"/>
        </w:rPr>
        <w:tag w:val="NEW_STAND_NAME"/>
        <w:id w:val="595910757"/>
        <w:lock w:val="sdtLocked"/>
        <w:placeholder>
          <w:docPart w:val="37BCCEF4DA094EE1A3EA89D73B495B65"/>
        </w:placeholder>
      </w:sdtPr>
      <w:sdtEndPr>
        <w:rPr>
          <w:highlight w:val="none"/>
        </w:rPr>
      </w:sdtEndPr>
      <w:sdtContent>
        <w:p>
          <w:pPr>
            <w:pStyle w:val="179"/>
            <w:keepNext w:val="0"/>
            <w:keepLines w:val="0"/>
            <w:pageBreakBefore w:val="0"/>
            <w:widowControl/>
            <w:kinsoku/>
            <w:wordWrap/>
            <w:overflowPunct/>
            <w:topLinePunct w:val="0"/>
            <w:autoSpaceDE/>
            <w:autoSpaceDN/>
            <w:bidi w:val="0"/>
            <w:adjustRightInd/>
            <w:snapToGrid/>
            <w:spacing w:before="567" w:after="680" w:line="240" w:lineRule="auto"/>
            <w:textAlignment w:val="auto"/>
            <w:rPr>
              <w:highlight w:val="none"/>
            </w:rPr>
          </w:pPr>
          <w:bookmarkStart w:id="21" w:name="_Toc24103"/>
          <w:bookmarkStart w:id="22" w:name="_Toc137568400"/>
          <w:bookmarkStart w:id="23" w:name="NEW_STAND_NAME"/>
          <w:bookmarkStart w:id="24" w:name="BookMark4"/>
          <w:r>
            <w:rPr>
              <w:rFonts w:hint="eastAsia"/>
              <w:highlight w:val="none"/>
            </w:rPr>
            <w:t xml:space="preserve">晶体硅光伏电池用浆料 </w:t>
          </w:r>
          <w:r>
            <w:rPr>
              <w:rFonts w:hint="eastAsia"/>
              <w:highlight w:val="none"/>
              <w:lang w:val="en-US" w:eastAsia="zh-CN"/>
            </w:rPr>
            <w:t xml:space="preserve"> </w:t>
          </w:r>
          <w:r>
            <w:rPr>
              <w:rFonts w:hint="eastAsia"/>
              <w:highlight w:val="none"/>
            </w:rPr>
            <w:t>第4部分</w:t>
          </w:r>
          <w:r>
            <w:rPr>
              <w:rFonts w:hint="eastAsia"/>
              <w:highlight w:val="none"/>
              <w:lang w:eastAsia="zh-CN"/>
            </w:rPr>
            <w:t>：</w:t>
          </w:r>
          <w:r>
            <w:rPr>
              <w:rFonts w:hint="eastAsia"/>
              <w:highlight w:val="none"/>
            </w:rPr>
            <w:t>正面和背面银浆</w:t>
          </w:r>
          <w:r>
            <w:rPr>
              <w:rFonts w:hint="eastAsia"/>
              <w:highlight w:val="none"/>
              <w:lang w:val="en-US" w:eastAsia="zh-CN"/>
            </w:rPr>
            <w:t xml:space="preserve"> </w:t>
          </w:r>
          <w:r>
            <w:rPr>
              <w:rFonts w:hint="eastAsia"/>
              <w:highlight w:val="none"/>
            </w:rPr>
            <w:t xml:space="preserve"> 固化型银浆</w:t>
          </w:r>
          <w:bookmarkEnd w:id="21"/>
          <w:bookmarkEnd w:id="22"/>
        </w:p>
      </w:sdtContent>
    </w:sdt>
    <w:bookmarkEnd w:id="23"/>
    <w:p>
      <w:pPr>
        <w:pStyle w:val="106"/>
        <w:spacing w:before="240" w:after="240"/>
        <w:rPr>
          <w:highlight w:val="none"/>
        </w:rPr>
      </w:pPr>
      <w:bookmarkStart w:id="25" w:name="_Toc17233333"/>
      <w:bookmarkStart w:id="26" w:name="_Toc26718930"/>
      <w:bookmarkStart w:id="27" w:name="_Toc79045635"/>
      <w:bookmarkStart w:id="28" w:name="_Toc26986530"/>
      <w:bookmarkStart w:id="29" w:name="_Toc24884211"/>
      <w:bookmarkStart w:id="30" w:name="_Toc10800"/>
      <w:bookmarkStart w:id="31" w:name="_Toc24884218"/>
      <w:bookmarkStart w:id="32" w:name="_Toc17233325"/>
      <w:bookmarkStart w:id="33" w:name="_Toc22235"/>
      <w:bookmarkStart w:id="34" w:name="_Toc26648465"/>
      <w:bookmarkStart w:id="35" w:name="_Toc26986771"/>
      <w:bookmarkStart w:id="36" w:name="_Toc79504498"/>
      <w:r>
        <w:rPr>
          <w:rFonts w:hint="eastAsia"/>
          <w:highlight w:val="none"/>
        </w:rPr>
        <w:t>范围</w:t>
      </w:r>
      <w:bookmarkEnd w:id="25"/>
      <w:bookmarkEnd w:id="26"/>
      <w:bookmarkEnd w:id="27"/>
      <w:bookmarkEnd w:id="28"/>
      <w:bookmarkEnd w:id="29"/>
      <w:bookmarkEnd w:id="30"/>
      <w:bookmarkEnd w:id="31"/>
      <w:bookmarkEnd w:id="32"/>
      <w:bookmarkEnd w:id="33"/>
      <w:bookmarkEnd w:id="34"/>
      <w:bookmarkEnd w:id="35"/>
      <w:bookmarkEnd w:id="36"/>
    </w:p>
    <w:p>
      <w:pPr>
        <w:pStyle w:val="58"/>
        <w:ind w:firstLine="420"/>
        <w:rPr>
          <w:rFonts w:hint="eastAsia"/>
          <w:highlight w:val="none"/>
        </w:rPr>
      </w:pPr>
      <w:bookmarkStart w:id="37" w:name="_Toc24884212"/>
      <w:bookmarkStart w:id="38" w:name="_Toc24884219"/>
      <w:bookmarkStart w:id="39" w:name="_Toc26648466"/>
      <w:bookmarkStart w:id="40" w:name="_Toc17233334"/>
      <w:bookmarkStart w:id="41" w:name="_Toc17233326"/>
      <w:r>
        <w:rPr>
          <w:rFonts w:hint="eastAsia"/>
          <w:highlight w:val="none"/>
          <w:lang w:eastAsia="zh-CN"/>
        </w:rPr>
        <w:t>本文件</w:t>
      </w:r>
      <w:r>
        <w:rPr>
          <w:rFonts w:hint="eastAsia"/>
          <w:highlight w:val="none"/>
        </w:rPr>
        <w:t>规定了晶体硅光伏电池用固化型银浆的术语和定义、要求、试验方法、检验规则及标志、包装、运输和贮存。</w:t>
      </w:r>
    </w:p>
    <w:p>
      <w:pPr>
        <w:pStyle w:val="58"/>
        <w:ind w:firstLine="420"/>
        <w:rPr>
          <w:highlight w:val="none"/>
        </w:rPr>
      </w:pPr>
      <w:r>
        <w:rPr>
          <w:rFonts w:hint="eastAsia"/>
          <w:highlight w:val="none"/>
          <w:lang w:eastAsia="zh-CN"/>
        </w:rPr>
        <w:t>本文件</w:t>
      </w:r>
      <w:r>
        <w:rPr>
          <w:rFonts w:hint="eastAsia"/>
          <w:highlight w:val="none"/>
        </w:rPr>
        <w:t>适用于制备晶体硅光伏电池正面和背面电极用的固化型银浆。</w:t>
      </w:r>
    </w:p>
    <w:p>
      <w:pPr>
        <w:pStyle w:val="106"/>
        <w:spacing w:before="240" w:after="240"/>
        <w:rPr>
          <w:highlight w:val="none"/>
        </w:rPr>
      </w:pPr>
      <w:bookmarkStart w:id="42" w:name="_Toc79045636"/>
      <w:bookmarkStart w:id="43" w:name="_Toc26986772"/>
      <w:bookmarkStart w:id="44" w:name="_Toc26986531"/>
      <w:bookmarkStart w:id="45" w:name="_Toc25811"/>
      <w:bookmarkStart w:id="46" w:name="_Toc15330"/>
      <w:bookmarkStart w:id="47" w:name="_Toc26718931"/>
      <w:bookmarkStart w:id="48" w:name="_Toc79504499"/>
      <w:r>
        <w:rPr>
          <w:rFonts w:hint="eastAsia"/>
          <w:highlight w:val="none"/>
        </w:rPr>
        <w:t>规范性引用文件</w:t>
      </w:r>
      <w:bookmarkEnd w:id="37"/>
      <w:bookmarkEnd w:id="38"/>
      <w:bookmarkEnd w:id="39"/>
      <w:bookmarkEnd w:id="40"/>
      <w:bookmarkEnd w:id="41"/>
      <w:bookmarkEnd w:id="42"/>
      <w:bookmarkEnd w:id="43"/>
      <w:bookmarkEnd w:id="44"/>
      <w:bookmarkEnd w:id="45"/>
      <w:bookmarkEnd w:id="46"/>
      <w:bookmarkEnd w:id="47"/>
      <w:bookmarkEnd w:id="48"/>
    </w:p>
    <w:sdt>
      <w:sdtPr>
        <w:rPr>
          <w:rFonts w:hint="eastAsia"/>
          <w:highlight w:val="none"/>
        </w:rPr>
        <w:id w:val="715848253"/>
        <w:placeholder>
          <w:docPart w:val="8467A95ED8AA41BC97CDEF710B4C03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pPr>
            <w:pStyle w:val="58"/>
            <w:ind w:firstLine="42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3"/>
        <w:tabs>
          <w:tab w:val="clear" w:pos="4201"/>
          <w:tab w:val="clear" w:pos="9298"/>
        </w:tabs>
        <w:rPr>
          <w:rFonts w:hAnsi="宋体"/>
          <w:szCs w:val="22"/>
          <w:highlight w:val="none"/>
        </w:rPr>
      </w:pPr>
      <w:r>
        <w:rPr>
          <w:rFonts w:hint="eastAsia" w:hAnsi="宋体"/>
          <w:szCs w:val="22"/>
          <w:highlight w:val="none"/>
        </w:rPr>
        <w:t xml:space="preserve">GB/T 8170 </w:t>
      </w:r>
      <w:r>
        <w:rPr>
          <w:rFonts w:hint="eastAsia" w:hAnsi="宋体"/>
          <w:szCs w:val="22"/>
          <w:highlight w:val="none"/>
          <w:lang w:val="en-US" w:eastAsia="zh-CN"/>
        </w:rPr>
        <w:t xml:space="preserve"> </w:t>
      </w:r>
      <w:r>
        <w:rPr>
          <w:rFonts w:hAnsi="宋体"/>
          <w:szCs w:val="22"/>
          <w:highlight w:val="none"/>
        </w:rPr>
        <w:t>数值修约规则与极限数值的表示和判定</w:t>
      </w:r>
    </w:p>
    <w:p>
      <w:pPr>
        <w:pStyle w:val="233"/>
        <w:tabs>
          <w:tab w:val="clear" w:pos="4201"/>
          <w:tab w:val="clear" w:pos="9298"/>
        </w:tabs>
        <w:rPr>
          <w:rFonts w:hAnsi="宋体"/>
          <w:highlight w:val="none"/>
        </w:rPr>
      </w:pPr>
      <w:r>
        <w:rPr>
          <w:rFonts w:hint="eastAsia" w:hAnsi="宋体"/>
          <w:highlight w:val="none"/>
        </w:rPr>
        <w:t xml:space="preserve">GB/T 17472 </w:t>
      </w:r>
      <w:r>
        <w:rPr>
          <w:rFonts w:hint="eastAsia" w:hAnsi="宋体"/>
          <w:highlight w:val="none"/>
          <w:lang w:val="en-US" w:eastAsia="zh-CN"/>
        </w:rPr>
        <w:t xml:space="preserve"> </w:t>
      </w:r>
      <w:r>
        <w:rPr>
          <w:rFonts w:hint="eastAsia" w:hAnsi="宋体"/>
          <w:highlight w:val="none"/>
        </w:rPr>
        <w:t>微电子技术用贵金属浆料规范</w:t>
      </w:r>
    </w:p>
    <w:p>
      <w:pPr>
        <w:pStyle w:val="233"/>
        <w:tabs>
          <w:tab w:val="clear" w:pos="4201"/>
          <w:tab w:val="clear" w:pos="9298"/>
        </w:tabs>
        <w:rPr>
          <w:rFonts w:hAnsi="宋体"/>
          <w:highlight w:val="none"/>
        </w:rPr>
      </w:pPr>
      <w:r>
        <w:rPr>
          <w:rFonts w:hint="eastAsia" w:hAnsi="宋体"/>
          <w:highlight w:val="none"/>
        </w:rPr>
        <w:t xml:space="preserve">GB/T 17473.2 </w:t>
      </w:r>
      <w:r>
        <w:rPr>
          <w:rFonts w:hint="eastAsia" w:hAnsi="宋体"/>
          <w:highlight w:val="none"/>
          <w:lang w:val="en-US" w:eastAsia="zh-CN"/>
        </w:rPr>
        <w:t xml:space="preserve"> </w:t>
      </w:r>
      <w:r>
        <w:rPr>
          <w:rFonts w:hint="eastAsia" w:hAnsi="宋体"/>
          <w:highlight w:val="none"/>
        </w:rPr>
        <w:t>微电子技术用贵金属浆料测试方法 细度测定</w:t>
      </w:r>
    </w:p>
    <w:p>
      <w:pPr>
        <w:pStyle w:val="233"/>
        <w:tabs>
          <w:tab w:val="clear" w:pos="4201"/>
          <w:tab w:val="clear" w:pos="9298"/>
        </w:tabs>
        <w:rPr>
          <w:rFonts w:hAnsi="宋体"/>
          <w:highlight w:val="none"/>
        </w:rPr>
      </w:pPr>
      <w:r>
        <w:rPr>
          <w:rFonts w:hint="eastAsia" w:hAnsi="宋体"/>
          <w:highlight w:val="none"/>
        </w:rPr>
        <w:t xml:space="preserve">GB/T 17473.5 </w:t>
      </w:r>
      <w:r>
        <w:rPr>
          <w:rFonts w:hint="eastAsia" w:hAnsi="宋体"/>
          <w:highlight w:val="none"/>
          <w:lang w:val="en-US" w:eastAsia="zh-CN"/>
        </w:rPr>
        <w:t xml:space="preserve"> </w:t>
      </w:r>
      <w:r>
        <w:rPr>
          <w:rFonts w:hint="eastAsia" w:hAnsi="宋体"/>
          <w:highlight w:val="none"/>
        </w:rPr>
        <w:t>微电子技术用贵金属浆料测试方法 粘度测定</w:t>
      </w:r>
    </w:p>
    <w:p>
      <w:pPr>
        <w:pStyle w:val="233"/>
        <w:tabs>
          <w:tab w:val="clear" w:pos="4201"/>
          <w:tab w:val="clear" w:pos="9298"/>
        </w:tabs>
        <w:rPr>
          <w:rFonts w:hint="eastAsia" w:hAnsi="宋体"/>
          <w:highlight w:val="none"/>
        </w:rPr>
      </w:pPr>
      <w:r>
        <w:rPr>
          <w:rFonts w:hint="eastAsia" w:hAnsi="宋体"/>
          <w:szCs w:val="21"/>
          <w:highlight w:val="none"/>
        </w:rPr>
        <w:t xml:space="preserve">GB/T 17473.7 </w:t>
      </w:r>
      <w:r>
        <w:rPr>
          <w:rFonts w:hint="eastAsia" w:hAnsi="宋体"/>
          <w:szCs w:val="21"/>
          <w:highlight w:val="none"/>
          <w:lang w:val="en-US" w:eastAsia="zh-CN"/>
        </w:rPr>
        <w:t xml:space="preserve"> </w:t>
      </w:r>
      <w:r>
        <w:rPr>
          <w:rFonts w:hint="eastAsia" w:hAnsi="宋体"/>
          <w:szCs w:val="21"/>
          <w:highlight w:val="none"/>
        </w:rPr>
        <w:t>微电子技术</w:t>
      </w:r>
      <w:r>
        <w:rPr>
          <w:rFonts w:hint="eastAsia" w:hAnsi="宋体"/>
          <w:highlight w:val="none"/>
        </w:rPr>
        <w:t>用贵金属浆料测试方法 可焊性、耐焊性测定</w:t>
      </w:r>
    </w:p>
    <w:p>
      <w:pPr>
        <w:pStyle w:val="233"/>
        <w:tabs>
          <w:tab w:val="clear" w:pos="4201"/>
          <w:tab w:val="clear" w:pos="9298"/>
        </w:tabs>
        <w:rPr>
          <w:rFonts w:hint="eastAsia" w:hAnsi="宋体"/>
          <w:szCs w:val="21"/>
          <w:highlight w:val="none"/>
        </w:rPr>
      </w:pPr>
      <w:r>
        <w:rPr>
          <w:rFonts w:hint="eastAsia" w:hAnsi="宋体"/>
          <w:szCs w:val="22"/>
          <w:highlight w:val="none"/>
        </w:rPr>
        <w:t xml:space="preserve">GB/T 31985 </w:t>
      </w:r>
      <w:r>
        <w:rPr>
          <w:rFonts w:hint="eastAsia" w:hAnsi="宋体"/>
          <w:szCs w:val="22"/>
          <w:highlight w:val="none"/>
          <w:lang w:val="en-US" w:eastAsia="zh-CN"/>
        </w:rPr>
        <w:t xml:space="preserve"> </w:t>
      </w:r>
      <w:r>
        <w:rPr>
          <w:rFonts w:hAnsi="宋体"/>
          <w:szCs w:val="22"/>
          <w:highlight w:val="none"/>
        </w:rPr>
        <w:t>光伏涂锡焊带</w:t>
      </w:r>
    </w:p>
    <w:p>
      <w:pPr>
        <w:pStyle w:val="106"/>
        <w:spacing w:before="240" w:after="240"/>
        <w:rPr>
          <w:highlight w:val="none"/>
        </w:rPr>
      </w:pPr>
      <w:bookmarkStart w:id="49" w:name="_Toc1044"/>
      <w:bookmarkStart w:id="50" w:name="_Toc79504500"/>
      <w:bookmarkStart w:id="51" w:name="_Toc79045637"/>
      <w:bookmarkStart w:id="52" w:name="_Toc3929"/>
      <w:r>
        <w:rPr>
          <w:rFonts w:hint="eastAsia"/>
          <w:szCs w:val="21"/>
          <w:highlight w:val="none"/>
        </w:rPr>
        <w:t>术语和定义</w:t>
      </w:r>
      <w:bookmarkEnd w:id="49"/>
      <w:bookmarkEnd w:id="50"/>
      <w:bookmarkEnd w:id="51"/>
      <w:bookmarkEnd w:id="52"/>
    </w:p>
    <w:sdt>
      <w:sdtPr>
        <w:rPr>
          <w:highlight w:val="none"/>
        </w:rPr>
        <w:id w:val="-1909835108"/>
        <w:placeholder>
          <w:docPart w:val="F7B519F888524541906C6B20F3C883B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pPr>
            <w:pStyle w:val="58"/>
            <w:ind w:firstLine="420"/>
            <w:rPr>
              <w:highlight w:val="none"/>
            </w:rPr>
          </w:pPr>
          <w:bookmarkStart w:id="53" w:name="_Toc26986532"/>
          <w:bookmarkEnd w:id="53"/>
          <w:r>
            <w:rPr>
              <w:rFonts w:hint="eastAsia" w:ascii="宋体" w:hAnsi="Times New Roman" w:eastAsia="宋体" w:cs="Times New Roman"/>
              <w:sz w:val="21"/>
              <w:highlight w:val="none"/>
              <w:lang w:val="en-US" w:eastAsia="zh-CN" w:bidi="ar-SA"/>
            </w:rPr>
            <w:t>GB/T 17472</w:t>
          </w:r>
          <w:r>
            <w:rPr>
              <w:rFonts w:ascii="宋体" w:hAnsi="Times New Roman" w:eastAsia="宋体" w:cs="Times New Roman"/>
              <w:sz w:val="21"/>
              <w:highlight w:val="none"/>
              <w:lang w:val="en-US" w:eastAsia="zh-CN" w:bidi="ar-SA"/>
            </w:rPr>
            <w:t>界定的术语和定义适用于本文件。</w:t>
          </w:r>
        </w:p>
      </w:sdtContent>
    </w:sdt>
    <w:p>
      <w:pPr>
        <w:pStyle w:val="106"/>
        <w:spacing w:before="240" w:after="240"/>
        <w:rPr>
          <w:highlight w:val="none"/>
        </w:rPr>
      </w:pPr>
      <w:bookmarkStart w:id="54" w:name="_Toc79045639"/>
      <w:bookmarkEnd w:id="54"/>
      <w:bookmarkStart w:id="55" w:name="_Toc137568404"/>
      <w:bookmarkStart w:id="56" w:name="_Toc79504501"/>
      <w:bookmarkStart w:id="57" w:name="_Toc1769"/>
      <w:bookmarkStart w:id="58" w:name="_Toc1944"/>
      <w:r>
        <w:rPr>
          <w:rFonts w:hint="eastAsia"/>
          <w:highlight w:val="none"/>
        </w:rPr>
        <w:t>要求</w:t>
      </w:r>
      <w:bookmarkEnd w:id="55"/>
      <w:bookmarkEnd w:id="56"/>
      <w:bookmarkEnd w:id="57"/>
      <w:bookmarkEnd w:id="58"/>
    </w:p>
    <w:p>
      <w:pPr>
        <w:pStyle w:val="107"/>
        <w:spacing w:before="120" w:after="120"/>
        <w:rPr>
          <w:rFonts w:hint="eastAsia"/>
          <w:highlight w:val="none"/>
        </w:rPr>
      </w:pPr>
      <w:bookmarkStart w:id="59" w:name="_Toc25331"/>
      <w:bookmarkStart w:id="60" w:name="_Toc137568405"/>
      <w:bookmarkStart w:id="61" w:name="_Toc461376755"/>
      <w:r>
        <w:rPr>
          <w:rFonts w:hint="eastAsia"/>
          <w:highlight w:val="none"/>
        </w:rPr>
        <w:t>外观</w:t>
      </w:r>
      <w:bookmarkEnd w:id="59"/>
      <w:bookmarkEnd w:id="60"/>
    </w:p>
    <w:p>
      <w:pPr>
        <w:pStyle w:val="233"/>
        <w:rPr>
          <w:highlight w:val="none"/>
        </w:rPr>
      </w:pPr>
      <w:r>
        <w:rPr>
          <w:rFonts w:hint="eastAsia"/>
          <w:highlight w:val="none"/>
        </w:rPr>
        <w:t>晶体硅光伏电池用固化型银浆应为均匀的膏状物，无肉眼可见夹杂物、颗粒或结块。</w:t>
      </w:r>
    </w:p>
    <w:bookmarkEnd w:id="61"/>
    <w:p>
      <w:pPr>
        <w:pStyle w:val="107"/>
        <w:spacing w:before="120" w:after="120"/>
        <w:rPr>
          <w:rFonts w:hint="eastAsia"/>
          <w:highlight w:val="none"/>
        </w:rPr>
      </w:pPr>
      <w:bookmarkStart w:id="62" w:name="_Toc28834"/>
      <w:bookmarkStart w:id="63" w:name="_Toc137568406"/>
      <w:r>
        <w:rPr>
          <w:rFonts w:hint="eastAsia"/>
          <w:highlight w:val="none"/>
        </w:rPr>
        <w:t>基本性能</w:t>
      </w:r>
      <w:bookmarkEnd w:id="62"/>
      <w:bookmarkEnd w:id="63"/>
    </w:p>
    <w:p>
      <w:pPr>
        <w:pStyle w:val="233"/>
        <w:rPr>
          <w:highlight w:val="none"/>
        </w:rPr>
      </w:pPr>
      <w:r>
        <w:rPr>
          <w:rFonts w:hint="eastAsia"/>
          <w:highlight w:val="none"/>
        </w:rPr>
        <w:t>晶体硅光伏电池用固化型银浆的基本性能应符合表1的规定。</w:t>
      </w:r>
    </w:p>
    <w:p>
      <w:pPr>
        <w:pStyle w:val="233"/>
        <w:spacing w:before="156" w:beforeLines="50" w:after="156" w:afterLines="50"/>
        <w:jc w:val="center"/>
        <w:rPr>
          <w:rFonts w:ascii="黑体" w:hAnsi="黑体" w:eastAsia="黑体"/>
          <w:highlight w:val="none"/>
        </w:rPr>
      </w:pPr>
      <w:r>
        <w:rPr>
          <w:rFonts w:hint="eastAsia" w:ascii="黑体" w:hAnsi="黑体" w:eastAsia="黑体"/>
          <w:highlight w:val="none"/>
        </w:rPr>
        <w:t>表1  晶体硅光伏电池用固化型银浆的基本性能</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64"/>
        <w:gridCol w:w="2364"/>
        <w:gridCol w:w="2328"/>
        <w:gridCol w:w="255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2364" w:type="dxa"/>
            <w:tcBorders>
              <w:bottom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种类</w:t>
            </w:r>
          </w:p>
        </w:tc>
        <w:tc>
          <w:tcPr>
            <w:tcW w:w="2364" w:type="dxa"/>
            <w:tcBorders>
              <w:bottom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固体</w:t>
            </w:r>
            <w:r>
              <w:rPr>
                <w:rFonts w:hAnsi="宋体"/>
                <w:sz w:val="18"/>
                <w:szCs w:val="18"/>
                <w:highlight w:val="none"/>
              </w:rPr>
              <w:t>含量</w:t>
            </w:r>
          </w:p>
          <w:p>
            <w:pPr>
              <w:pStyle w:val="233"/>
              <w:ind w:firstLine="0" w:firstLineChars="0"/>
              <w:jc w:val="center"/>
              <w:rPr>
                <w:rFonts w:hAnsi="宋体"/>
                <w:sz w:val="18"/>
                <w:szCs w:val="18"/>
                <w:highlight w:val="none"/>
              </w:rPr>
            </w:pPr>
            <w:r>
              <w:rPr>
                <w:rFonts w:hint="eastAsia" w:hAnsi="宋体"/>
                <w:sz w:val="18"/>
                <w:szCs w:val="18"/>
                <w:highlight w:val="none"/>
              </w:rPr>
              <w:t>%</w:t>
            </w:r>
          </w:p>
        </w:tc>
        <w:tc>
          <w:tcPr>
            <w:tcW w:w="2328" w:type="dxa"/>
            <w:tcBorders>
              <w:bottom w:val="single" w:color="auto" w:sz="8" w:space="0"/>
            </w:tcBorders>
            <w:vAlign w:val="center"/>
          </w:tcPr>
          <w:p>
            <w:pPr>
              <w:pStyle w:val="233"/>
              <w:ind w:firstLine="0" w:firstLineChars="0"/>
              <w:jc w:val="center"/>
              <w:rPr>
                <w:rFonts w:hAnsi="宋体"/>
                <w:sz w:val="18"/>
                <w:szCs w:val="18"/>
                <w:highlight w:val="none"/>
              </w:rPr>
            </w:pPr>
            <w:r>
              <w:rPr>
                <w:rFonts w:hAnsi="宋体"/>
                <w:sz w:val="18"/>
                <w:szCs w:val="18"/>
                <w:highlight w:val="none"/>
              </w:rPr>
              <w:t>细度</w:t>
            </w:r>
            <w:r>
              <w:rPr>
                <w:rFonts w:hint="eastAsia" w:hAnsi="宋体"/>
                <w:sz w:val="18"/>
                <w:szCs w:val="18"/>
                <w:highlight w:val="none"/>
              </w:rPr>
              <w:t>（4</w:t>
            </w:r>
            <w:r>
              <w:rPr>
                <w:rFonts w:hint="eastAsia" w:hAnsi="宋体"/>
                <w:sz w:val="18"/>
                <w:szCs w:val="18"/>
                <w:highlight w:val="none"/>
                <w:vertAlign w:val="superscript"/>
              </w:rPr>
              <w:t>th</w:t>
            </w:r>
            <w:r>
              <w:rPr>
                <w:rFonts w:hint="eastAsia" w:hAnsi="宋体"/>
                <w:sz w:val="18"/>
                <w:szCs w:val="18"/>
                <w:highlight w:val="none"/>
              </w:rPr>
              <w:t>）</w:t>
            </w:r>
          </w:p>
          <w:p>
            <w:pPr>
              <w:pStyle w:val="233"/>
              <w:ind w:firstLine="0" w:firstLineChars="0"/>
              <w:jc w:val="center"/>
              <w:rPr>
                <w:rFonts w:hAnsi="宋体"/>
                <w:sz w:val="18"/>
                <w:szCs w:val="18"/>
                <w:highlight w:val="none"/>
              </w:rPr>
            </w:pPr>
            <w:r>
              <w:rPr>
                <w:rFonts w:hint="eastAsia" w:ascii="微软雅黑" w:hAnsi="微软雅黑" w:eastAsia="微软雅黑" w:cs="微软雅黑"/>
                <w:sz w:val="18"/>
                <w:szCs w:val="18"/>
                <w:highlight w:val="none"/>
              </w:rPr>
              <w:t>㎛</w:t>
            </w:r>
          </w:p>
        </w:tc>
        <w:tc>
          <w:tcPr>
            <w:tcW w:w="2554" w:type="dxa"/>
            <w:tcBorders>
              <w:bottom w:val="single" w:color="auto" w:sz="8" w:space="0"/>
            </w:tcBorders>
            <w:vAlign w:val="center"/>
          </w:tcPr>
          <w:p>
            <w:pPr>
              <w:pStyle w:val="233"/>
              <w:ind w:firstLine="0" w:firstLineChars="0"/>
              <w:jc w:val="center"/>
              <w:rPr>
                <w:rFonts w:hint="default" w:hAnsi="宋体" w:eastAsia="宋体"/>
                <w:sz w:val="18"/>
                <w:szCs w:val="18"/>
                <w:highlight w:val="none"/>
                <w:lang w:val="en-US" w:eastAsia="zh-CN"/>
              </w:rPr>
            </w:pPr>
            <w:r>
              <w:rPr>
                <w:rFonts w:hint="eastAsia" w:hAnsi="宋体"/>
                <w:sz w:val="18"/>
                <w:szCs w:val="18"/>
                <w:highlight w:val="none"/>
              </w:rPr>
              <w:t>粘</w:t>
            </w:r>
            <w:r>
              <w:rPr>
                <w:rFonts w:hAnsi="宋体"/>
                <w:sz w:val="18"/>
                <w:szCs w:val="18"/>
                <w:highlight w:val="none"/>
              </w:rPr>
              <w:t>度</w:t>
            </w:r>
            <w:r>
              <w:rPr>
                <w:rFonts w:hint="eastAsia" w:hAnsi="宋体"/>
                <w:sz w:val="18"/>
                <w:szCs w:val="18"/>
                <w:highlight w:val="none"/>
                <w:lang w:val="en-US" w:eastAsia="zh-CN"/>
              </w:rPr>
              <w:t>(使用Brookfield DV1粘度计测试；转子型号：SC4-14，在此测试条件下参考数值)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364" w:type="dxa"/>
            <w:tcBorders>
              <w:top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主栅</w:t>
            </w:r>
          </w:p>
        </w:tc>
        <w:tc>
          <w:tcPr>
            <w:tcW w:w="2364" w:type="dxa"/>
            <w:tcBorders>
              <w:top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标称值±1.5</w:t>
            </w:r>
          </w:p>
        </w:tc>
        <w:tc>
          <w:tcPr>
            <w:tcW w:w="2328" w:type="dxa"/>
            <w:tcBorders>
              <w:top w:val="single" w:color="auto" w:sz="8" w:space="0"/>
            </w:tcBorders>
            <w:vAlign w:val="center"/>
          </w:tcPr>
          <w:p>
            <w:pPr>
              <w:pStyle w:val="233"/>
              <w:ind w:firstLine="0" w:firstLineChars="0"/>
              <w:jc w:val="center"/>
              <w:rPr>
                <w:rFonts w:hAnsi="宋体"/>
                <w:sz w:val="18"/>
                <w:szCs w:val="18"/>
                <w:highlight w:val="none"/>
              </w:rPr>
            </w:pPr>
            <w:r>
              <w:rPr>
                <w:rFonts w:hAnsi="宋体"/>
                <w:sz w:val="18"/>
                <w:szCs w:val="18"/>
                <w:highlight w:val="none"/>
              </w:rPr>
              <w:t>≤20</w:t>
            </w:r>
          </w:p>
        </w:tc>
        <w:tc>
          <w:tcPr>
            <w:tcW w:w="2554" w:type="dxa"/>
            <w:tcBorders>
              <w:top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&lt;</w:t>
            </w:r>
            <w:r>
              <w:rPr>
                <w:rFonts w:hAnsi="宋体"/>
                <w:sz w:val="18"/>
                <w:szCs w:val="18"/>
                <w:highlight w:val="none"/>
              </w:rPr>
              <w:t xml:space="preserve"> </w:t>
            </w:r>
            <w:r>
              <w:rPr>
                <w:rFonts w:hint="eastAsia" w:hAnsi="宋体"/>
                <w:sz w:val="18"/>
                <w:szCs w:val="18"/>
                <w:highlight w:val="none"/>
                <w:lang w:val="en-US" w:eastAsia="zh-CN"/>
              </w:rPr>
              <w:t>3</w:t>
            </w:r>
            <w:r>
              <w:rPr>
                <w:rFonts w:hint="eastAsia" w:hAnsi="宋体"/>
                <w:sz w:val="18"/>
                <w:szCs w:val="18"/>
                <w:highlight w:val="none"/>
              </w:rPr>
              <w:t xml:space="preserve">00 </w:t>
            </w:r>
            <w:r>
              <w:rPr>
                <w:rFonts w:hAnsi="宋体"/>
                <w:sz w:val="18"/>
                <w:szCs w:val="18"/>
                <w:highlight w:val="none"/>
              </w:rPr>
              <w:t>Pa</w:t>
            </w:r>
            <w:r>
              <w:rPr>
                <w:rFonts w:hint="eastAsia" w:hAnsi="宋体"/>
                <w:sz w:val="18"/>
                <w:szCs w:val="18"/>
                <w:highlight w:val="none"/>
              </w:rPr>
              <w:t>·</w:t>
            </w:r>
            <w:r>
              <w:rPr>
                <w:rFonts w:hAnsi="宋体"/>
                <w:sz w:val="18"/>
                <w:szCs w:val="18"/>
                <w:highlight w:val="none"/>
              </w:rPr>
              <w:t>s</w:t>
            </w:r>
            <w:r>
              <w:rPr>
                <w:rFonts w:hint="eastAsia" w:hAnsi="宋体"/>
                <w:sz w:val="18"/>
                <w:szCs w:val="18"/>
                <w:highlight w:val="none"/>
              </w:rPr>
              <w:t>，标称值±</w:t>
            </w:r>
            <w:r>
              <w:rPr>
                <w:rFonts w:hint="eastAsia" w:hAnsi="宋体"/>
                <w:sz w:val="18"/>
                <w:szCs w:val="18"/>
                <w:highlight w:val="none"/>
                <w:lang w:val="en-US" w:eastAsia="zh-CN"/>
              </w:rPr>
              <w:t>10</w:t>
            </w:r>
            <w:r>
              <w:rPr>
                <w:rFonts w:hint="eastAsia" w:hAnsi="宋体"/>
                <w:sz w:val="18"/>
                <w:szCs w:val="18"/>
                <w:highlight w:val="none"/>
              </w:rPr>
              <w:t>%</w:t>
            </w:r>
          </w:p>
          <w:p>
            <w:pPr>
              <w:pStyle w:val="233"/>
              <w:ind w:firstLine="0" w:firstLineChars="0"/>
              <w:jc w:val="center"/>
              <w:rPr>
                <w:rFonts w:hAnsi="宋体"/>
                <w:sz w:val="18"/>
                <w:szCs w:val="18"/>
                <w:highlight w:val="none"/>
              </w:rPr>
            </w:pPr>
            <w:r>
              <w:rPr>
                <w:rFonts w:hint="eastAsia" w:hAnsi="宋体"/>
                <w:sz w:val="18"/>
                <w:szCs w:val="18"/>
                <w:highlight w:val="none"/>
              </w:rPr>
              <w:t xml:space="preserve">≥ </w:t>
            </w:r>
            <w:r>
              <w:rPr>
                <w:rFonts w:hint="eastAsia" w:hAnsi="宋体"/>
                <w:sz w:val="18"/>
                <w:szCs w:val="18"/>
                <w:highlight w:val="none"/>
                <w:lang w:val="en-US" w:eastAsia="zh-CN"/>
              </w:rPr>
              <w:t>3</w:t>
            </w:r>
            <w:r>
              <w:rPr>
                <w:rFonts w:hint="eastAsia" w:hAnsi="宋体"/>
                <w:sz w:val="18"/>
                <w:szCs w:val="18"/>
                <w:highlight w:val="none"/>
              </w:rPr>
              <w:t>00 Pa·s，标称值±</w:t>
            </w:r>
            <w:r>
              <w:rPr>
                <w:rFonts w:hint="eastAsia" w:hAnsi="宋体"/>
                <w:sz w:val="18"/>
                <w:szCs w:val="18"/>
                <w:highlight w:val="none"/>
                <w:lang w:val="en-US" w:eastAsia="zh-CN"/>
              </w:rPr>
              <w:t>7.5</w:t>
            </w:r>
            <w:r>
              <w:rPr>
                <w:rFonts w:hint="eastAsia" w:hAnsi="宋体"/>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364" w:type="dxa"/>
            <w:vAlign w:val="center"/>
          </w:tcPr>
          <w:p>
            <w:pPr>
              <w:pStyle w:val="233"/>
              <w:ind w:firstLine="0" w:firstLineChars="0"/>
              <w:jc w:val="center"/>
              <w:rPr>
                <w:rFonts w:hAnsi="宋体"/>
                <w:sz w:val="18"/>
                <w:szCs w:val="18"/>
                <w:highlight w:val="none"/>
              </w:rPr>
            </w:pPr>
            <w:r>
              <w:rPr>
                <w:rFonts w:hint="eastAsia" w:hAnsi="宋体"/>
                <w:sz w:val="18"/>
                <w:szCs w:val="18"/>
                <w:highlight w:val="none"/>
              </w:rPr>
              <w:t>副栅</w:t>
            </w:r>
          </w:p>
        </w:tc>
        <w:tc>
          <w:tcPr>
            <w:tcW w:w="2364" w:type="dxa"/>
            <w:vAlign w:val="center"/>
          </w:tcPr>
          <w:p>
            <w:pPr>
              <w:pStyle w:val="233"/>
              <w:ind w:firstLine="0" w:firstLineChars="0"/>
              <w:jc w:val="center"/>
              <w:rPr>
                <w:rFonts w:hAnsi="宋体"/>
                <w:sz w:val="18"/>
                <w:szCs w:val="18"/>
                <w:highlight w:val="none"/>
              </w:rPr>
            </w:pPr>
            <w:r>
              <w:rPr>
                <w:rFonts w:hint="eastAsia" w:hAnsi="宋体"/>
                <w:sz w:val="18"/>
                <w:szCs w:val="18"/>
                <w:highlight w:val="none"/>
              </w:rPr>
              <w:t>标称值±1.5</w:t>
            </w:r>
          </w:p>
        </w:tc>
        <w:tc>
          <w:tcPr>
            <w:tcW w:w="2328" w:type="dxa"/>
            <w:vAlign w:val="center"/>
          </w:tcPr>
          <w:p>
            <w:pPr>
              <w:pStyle w:val="233"/>
              <w:ind w:firstLine="0" w:firstLineChars="0"/>
              <w:jc w:val="center"/>
              <w:rPr>
                <w:rFonts w:hAnsi="宋体"/>
                <w:sz w:val="18"/>
                <w:szCs w:val="18"/>
                <w:highlight w:val="none"/>
              </w:rPr>
            </w:pPr>
            <w:r>
              <w:rPr>
                <w:rFonts w:hint="eastAsia" w:hAnsi="宋体"/>
                <w:sz w:val="18"/>
                <w:szCs w:val="18"/>
                <w:highlight w:val="none"/>
              </w:rPr>
              <w:t>≤1</w:t>
            </w:r>
            <w:r>
              <w:rPr>
                <w:rFonts w:hAnsi="宋体"/>
                <w:sz w:val="18"/>
                <w:szCs w:val="18"/>
                <w:highlight w:val="none"/>
              </w:rPr>
              <w:t>0</w:t>
            </w:r>
          </w:p>
        </w:tc>
        <w:tc>
          <w:tcPr>
            <w:tcW w:w="2554" w:type="dxa"/>
            <w:vAlign w:val="center"/>
          </w:tcPr>
          <w:p>
            <w:pPr>
              <w:pStyle w:val="233"/>
              <w:ind w:firstLine="0" w:firstLineChars="0"/>
              <w:jc w:val="center"/>
              <w:rPr>
                <w:rFonts w:hAnsi="宋体"/>
                <w:sz w:val="18"/>
                <w:szCs w:val="18"/>
                <w:highlight w:val="none"/>
              </w:rPr>
            </w:pPr>
            <w:r>
              <w:rPr>
                <w:rFonts w:hint="eastAsia" w:hAnsi="宋体"/>
                <w:sz w:val="18"/>
                <w:szCs w:val="18"/>
                <w:highlight w:val="none"/>
              </w:rPr>
              <w:t>&lt;</w:t>
            </w:r>
            <w:r>
              <w:rPr>
                <w:rFonts w:hAnsi="宋体"/>
                <w:sz w:val="18"/>
                <w:szCs w:val="18"/>
                <w:highlight w:val="none"/>
              </w:rPr>
              <w:t xml:space="preserve"> </w:t>
            </w:r>
            <w:r>
              <w:rPr>
                <w:rFonts w:hint="eastAsia" w:hAnsi="宋体"/>
                <w:sz w:val="18"/>
                <w:szCs w:val="18"/>
                <w:highlight w:val="none"/>
                <w:lang w:val="en-US" w:eastAsia="zh-CN"/>
              </w:rPr>
              <w:t>3</w:t>
            </w:r>
            <w:r>
              <w:rPr>
                <w:rFonts w:hint="eastAsia" w:hAnsi="宋体"/>
                <w:sz w:val="18"/>
                <w:szCs w:val="18"/>
                <w:highlight w:val="none"/>
              </w:rPr>
              <w:t xml:space="preserve">00 </w:t>
            </w:r>
            <w:r>
              <w:rPr>
                <w:rFonts w:hAnsi="宋体"/>
                <w:sz w:val="18"/>
                <w:szCs w:val="18"/>
                <w:highlight w:val="none"/>
              </w:rPr>
              <w:t>Pa</w:t>
            </w:r>
            <w:r>
              <w:rPr>
                <w:rFonts w:hint="eastAsia" w:hAnsi="宋体"/>
                <w:sz w:val="18"/>
                <w:szCs w:val="18"/>
                <w:highlight w:val="none"/>
              </w:rPr>
              <w:t>·</w:t>
            </w:r>
            <w:r>
              <w:rPr>
                <w:rFonts w:hAnsi="宋体"/>
                <w:sz w:val="18"/>
                <w:szCs w:val="18"/>
                <w:highlight w:val="none"/>
              </w:rPr>
              <w:t>s</w:t>
            </w:r>
            <w:r>
              <w:rPr>
                <w:rFonts w:hint="eastAsia" w:hAnsi="宋体"/>
                <w:sz w:val="18"/>
                <w:szCs w:val="18"/>
                <w:highlight w:val="none"/>
              </w:rPr>
              <w:t>，标称值±</w:t>
            </w:r>
            <w:r>
              <w:rPr>
                <w:rFonts w:hint="eastAsia" w:hAnsi="宋体"/>
                <w:sz w:val="18"/>
                <w:szCs w:val="18"/>
                <w:highlight w:val="none"/>
                <w:lang w:val="en-US" w:eastAsia="zh-CN"/>
              </w:rPr>
              <w:t>10</w:t>
            </w:r>
            <w:r>
              <w:rPr>
                <w:rFonts w:hint="eastAsia" w:hAnsi="宋体"/>
                <w:sz w:val="18"/>
                <w:szCs w:val="18"/>
                <w:highlight w:val="none"/>
              </w:rPr>
              <w:t>%</w:t>
            </w:r>
          </w:p>
          <w:p>
            <w:pPr>
              <w:pStyle w:val="233"/>
              <w:ind w:firstLine="0" w:firstLineChars="0"/>
              <w:jc w:val="center"/>
              <w:rPr>
                <w:rFonts w:hAnsi="宋体"/>
                <w:sz w:val="18"/>
                <w:szCs w:val="18"/>
                <w:highlight w:val="none"/>
              </w:rPr>
            </w:pPr>
            <w:r>
              <w:rPr>
                <w:rFonts w:hint="eastAsia" w:hAnsi="宋体"/>
                <w:sz w:val="18"/>
                <w:szCs w:val="18"/>
                <w:highlight w:val="none"/>
              </w:rPr>
              <w:t xml:space="preserve">≥ </w:t>
            </w:r>
            <w:r>
              <w:rPr>
                <w:rFonts w:hint="eastAsia" w:hAnsi="宋体"/>
                <w:sz w:val="18"/>
                <w:szCs w:val="18"/>
                <w:highlight w:val="none"/>
                <w:lang w:val="en-US" w:eastAsia="zh-CN"/>
              </w:rPr>
              <w:t>3</w:t>
            </w:r>
            <w:r>
              <w:rPr>
                <w:rFonts w:hint="eastAsia" w:hAnsi="宋体"/>
                <w:sz w:val="18"/>
                <w:szCs w:val="18"/>
                <w:highlight w:val="none"/>
              </w:rPr>
              <w:t>00 Pa·s，标称值±</w:t>
            </w:r>
            <w:r>
              <w:rPr>
                <w:rFonts w:hint="eastAsia" w:hAnsi="宋体"/>
                <w:sz w:val="18"/>
                <w:szCs w:val="18"/>
                <w:highlight w:val="none"/>
                <w:lang w:val="en-US" w:eastAsia="zh-CN"/>
              </w:rPr>
              <w:t>7.5</w:t>
            </w:r>
            <w:r>
              <w:rPr>
                <w:rFonts w:hint="eastAsia" w:hAnsi="宋体"/>
                <w:sz w:val="18"/>
                <w:szCs w:val="18"/>
                <w:highlight w:val="none"/>
              </w:rPr>
              <w:t>%</w:t>
            </w:r>
          </w:p>
        </w:tc>
      </w:tr>
    </w:tbl>
    <w:p>
      <w:pPr>
        <w:pStyle w:val="107"/>
        <w:spacing w:before="120" w:after="120"/>
        <w:rPr>
          <w:rFonts w:hint="eastAsia"/>
          <w:highlight w:val="none"/>
        </w:rPr>
      </w:pPr>
      <w:bookmarkStart w:id="64" w:name="_Toc13319"/>
      <w:bookmarkStart w:id="65" w:name="_Toc137568407"/>
      <w:r>
        <w:rPr>
          <w:rFonts w:hint="eastAsia"/>
          <w:highlight w:val="none"/>
        </w:rPr>
        <w:t>成膜后性能</w:t>
      </w:r>
      <w:bookmarkEnd w:id="64"/>
      <w:bookmarkEnd w:id="65"/>
    </w:p>
    <w:p>
      <w:pPr>
        <w:pStyle w:val="233"/>
        <w:rPr>
          <w:rFonts w:hint="eastAsia"/>
          <w:highlight w:val="none"/>
        </w:rPr>
      </w:pPr>
      <w:r>
        <w:rPr>
          <w:rFonts w:hint="eastAsia"/>
          <w:highlight w:val="none"/>
        </w:rPr>
        <w:t>晶体硅光伏电池用固化型银浆成膜后的性能应符合表2的规定。</w:t>
      </w:r>
    </w:p>
    <w:p>
      <w:pPr>
        <w:pStyle w:val="233"/>
        <w:rPr>
          <w:rFonts w:hint="eastAsia"/>
          <w:highlight w:val="none"/>
        </w:rPr>
      </w:pPr>
    </w:p>
    <w:p>
      <w:pPr>
        <w:pStyle w:val="233"/>
        <w:rPr>
          <w:rFonts w:hint="eastAsia"/>
          <w:highlight w:val="none"/>
        </w:rPr>
      </w:pPr>
    </w:p>
    <w:p>
      <w:pPr>
        <w:pStyle w:val="233"/>
        <w:rPr>
          <w:rFonts w:hint="eastAsia"/>
          <w:highlight w:val="none"/>
        </w:rPr>
      </w:pPr>
    </w:p>
    <w:p>
      <w:pPr>
        <w:pStyle w:val="233"/>
        <w:spacing w:before="156" w:beforeLines="50" w:after="156" w:afterLines="50"/>
        <w:ind w:firstLine="0" w:firstLineChars="0"/>
        <w:jc w:val="center"/>
        <w:rPr>
          <w:rFonts w:ascii="黑体" w:hAnsi="黑体" w:eastAsia="黑体"/>
          <w:highlight w:val="none"/>
        </w:rPr>
      </w:pPr>
      <w:bookmarkStart w:id="66" w:name="_Toc30540"/>
      <w:bookmarkStart w:id="67" w:name="_Toc458845967"/>
      <w:bookmarkStart w:id="68" w:name="_Toc448082167"/>
      <w:bookmarkStart w:id="69" w:name="_Toc448089712"/>
      <w:bookmarkStart w:id="70" w:name="_Toc648"/>
      <w:bookmarkStart w:id="71" w:name="_Toc448080656"/>
      <w:r>
        <w:rPr>
          <w:rFonts w:hint="eastAsia" w:ascii="黑体" w:hAnsi="黑体" w:eastAsia="黑体"/>
          <w:highlight w:val="none"/>
        </w:rPr>
        <w:t>表2  晶体硅光伏电池用固化型银浆成膜后的性能</w:t>
      </w:r>
    </w:p>
    <w:tbl>
      <w:tblPr>
        <w:tblStyle w:val="27"/>
        <w:tblW w:w="991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1842"/>
        <w:gridCol w:w="993"/>
        <w:gridCol w:w="1134"/>
        <w:gridCol w:w="1559"/>
        <w:gridCol w:w="1696"/>
        <w:gridCol w:w="141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274" w:type="dxa"/>
            <w:tcBorders>
              <w:bottom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种类</w:t>
            </w:r>
          </w:p>
        </w:tc>
        <w:tc>
          <w:tcPr>
            <w:tcW w:w="1842" w:type="dxa"/>
            <w:tcBorders>
              <w:bottom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外观</w:t>
            </w:r>
          </w:p>
        </w:tc>
        <w:tc>
          <w:tcPr>
            <w:tcW w:w="993" w:type="dxa"/>
            <w:tcBorders>
              <w:bottom w:val="single" w:color="auto" w:sz="8" w:space="0"/>
            </w:tcBorders>
          </w:tcPr>
          <w:p>
            <w:pPr>
              <w:pStyle w:val="233"/>
              <w:ind w:firstLine="0" w:firstLineChars="0"/>
              <w:jc w:val="center"/>
              <w:rPr>
                <w:rFonts w:hAnsi="宋体"/>
                <w:sz w:val="18"/>
                <w:szCs w:val="18"/>
                <w:highlight w:val="none"/>
              </w:rPr>
            </w:pPr>
            <w:r>
              <w:rPr>
                <w:rFonts w:hint="eastAsia" w:hAnsi="宋体"/>
                <w:sz w:val="18"/>
                <w:szCs w:val="18"/>
                <w:highlight w:val="none"/>
              </w:rPr>
              <w:t>体积电阻率</w:t>
            </w:r>
            <w:r>
              <w:rPr>
                <w:rFonts w:hAnsi="宋体"/>
                <w:sz w:val="18"/>
                <w:szCs w:val="18"/>
                <w:highlight w:val="none"/>
              </w:rPr>
              <w:t>μ</w:t>
            </w:r>
            <w:r>
              <w:rPr>
                <w:rFonts w:ascii="Times New Roman" w:hAnsi="Times New Roman"/>
                <w:sz w:val="18"/>
                <w:szCs w:val="18"/>
                <w:highlight w:val="none"/>
              </w:rPr>
              <w:t>Ω∙</w:t>
            </w:r>
            <w:r>
              <w:rPr>
                <w:rFonts w:hAnsi="宋体"/>
                <w:sz w:val="18"/>
                <w:szCs w:val="18"/>
                <w:highlight w:val="none"/>
              </w:rPr>
              <w:t>cm</w:t>
            </w:r>
            <w:r>
              <w:rPr>
                <w:rFonts w:hint="eastAsia" w:hAnsi="宋体"/>
                <w:sz w:val="18"/>
                <w:szCs w:val="18"/>
                <w:highlight w:val="none"/>
              </w:rPr>
              <w:t xml:space="preserve"> </w:t>
            </w:r>
          </w:p>
        </w:tc>
        <w:tc>
          <w:tcPr>
            <w:tcW w:w="1134" w:type="dxa"/>
            <w:tcBorders>
              <w:bottom w:val="single" w:color="auto" w:sz="8" w:space="0"/>
            </w:tcBorders>
            <w:vAlign w:val="center"/>
          </w:tcPr>
          <w:p>
            <w:pPr>
              <w:pStyle w:val="233"/>
              <w:ind w:firstLine="0" w:firstLineChars="0"/>
              <w:jc w:val="center"/>
              <w:rPr>
                <w:rFonts w:hint="eastAsia" w:hAnsi="宋体" w:eastAsia="宋体"/>
                <w:sz w:val="18"/>
                <w:szCs w:val="18"/>
                <w:highlight w:val="yellow"/>
                <w:lang w:val="en-US" w:eastAsia="zh-CN"/>
              </w:rPr>
            </w:pPr>
            <w:r>
              <w:rPr>
                <w:rFonts w:hint="eastAsia" w:hAnsi="宋体"/>
                <w:sz w:val="18"/>
                <w:szCs w:val="18"/>
                <w:highlight w:val="none"/>
                <w:shd w:val="clear"/>
              </w:rPr>
              <w:t>接触电阻率</w:t>
            </w:r>
            <w:r>
              <w:rPr>
                <w:rFonts w:hAnsi="宋体"/>
                <w:sz w:val="18"/>
                <w:szCs w:val="18"/>
                <w:highlight w:val="none"/>
                <w:shd w:val="clear"/>
              </w:rPr>
              <w:t>m</w:t>
            </w:r>
            <w:r>
              <w:rPr>
                <w:rFonts w:ascii="Times New Roman" w:hAnsi="Times New Roman"/>
                <w:sz w:val="18"/>
                <w:szCs w:val="18"/>
                <w:highlight w:val="none"/>
                <w:shd w:val="clear"/>
              </w:rPr>
              <w:t>Ω∙</w:t>
            </w:r>
            <w:r>
              <w:rPr>
                <w:rFonts w:hAnsi="宋体"/>
                <w:sz w:val="18"/>
                <w:szCs w:val="18"/>
                <w:highlight w:val="none"/>
                <w:shd w:val="clear"/>
              </w:rPr>
              <w:t>cm</w:t>
            </w:r>
            <w:r>
              <w:rPr>
                <w:rFonts w:hint="eastAsia" w:hAnsi="宋体"/>
                <w:sz w:val="18"/>
                <w:szCs w:val="18"/>
                <w:highlight w:val="none"/>
                <w:vertAlign w:val="superscript"/>
                <w:lang w:val="en-US" w:eastAsia="zh-CN"/>
              </w:rPr>
              <w:t>2</w:t>
            </w:r>
          </w:p>
        </w:tc>
        <w:tc>
          <w:tcPr>
            <w:tcW w:w="1559" w:type="dxa"/>
            <w:tcBorders>
              <w:bottom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可焊性</w:t>
            </w:r>
          </w:p>
        </w:tc>
        <w:tc>
          <w:tcPr>
            <w:tcW w:w="1696" w:type="dxa"/>
            <w:tcBorders>
              <w:bottom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附着力</w:t>
            </w:r>
          </w:p>
          <w:p>
            <w:pPr>
              <w:pStyle w:val="233"/>
              <w:ind w:firstLine="0" w:firstLineChars="0"/>
              <w:jc w:val="center"/>
              <w:rPr>
                <w:rFonts w:hAnsi="宋体"/>
                <w:sz w:val="18"/>
                <w:szCs w:val="18"/>
                <w:highlight w:val="none"/>
              </w:rPr>
            </w:pPr>
            <w:r>
              <w:rPr>
                <w:rFonts w:hint="eastAsia" w:hAnsi="宋体"/>
                <w:sz w:val="18"/>
                <w:szCs w:val="18"/>
                <w:highlight w:val="none"/>
              </w:rPr>
              <w:t>N/mm</w:t>
            </w:r>
          </w:p>
        </w:tc>
        <w:tc>
          <w:tcPr>
            <w:tcW w:w="1417" w:type="dxa"/>
            <w:tcBorders>
              <w:bottom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 xml:space="preserve">耐老化性能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74" w:type="dxa"/>
            <w:tcBorders>
              <w:top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主栅</w:t>
            </w:r>
          </w:p>
        </w:tc>
        <w:tc>
          <w:tcPr>
            <w:tcW w:w="1842" w:type="dxa"/>
            <w:tcBorders>
              <w:top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表面平整致密；颜色呈均匀光亮的白色</w:t>
            </w:r>
          </w:p>
        </w:tc>
        <w:tc>
          <w:tcPr>
            <w:tcW w:w="993" w:type="dxa"/>
            <w:tcBorders>
              <w:top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w:t>
            </w:r>
            <w:r>
              <w:rPr>
                <w:rFonts w:hAnsi="宋体"/>
                <w:sz w:val="18"/>
                <w:szCs w:val="18"/>
                <w:highlight w:val="none"/>
              </w:rPr>
              <w:t>10</w:t>
            </w:r>
          </w:p>
        </w:tc>
        <w:tc>
          <w:tcPr>
            <w:tcW w:w="1134" w:type="dxa"/>
            <w:tcBorders>
              <w:top w:val="single" w:color="auto" w:sz="8" w:space="0"/>
            </w:tcBorders>
            <w:vAlign w:val="center"/>
          </w:tcPr>
          <w:p>
            <w:pPr>
              <w:pStyle w:val="233"/>
              <w:ind w:firstLine="0" w:firstLineChars="0"/>
              <w:jc w:val="center"/>
              <w:rPr>
                <w:rFonts w:hAnsi="宋体"/>
                <w:sz w:val="18"/>
                <w:szCs w:val="18"/>
                <w:highlight w:val="none"/>
              </w:rPr>
            </w:pPr>
            <w:r>
              <w:rPr>
                <w:rFonts w:hint="eastAsia" w:hAnsi="宋体"/>
                <w:sz w:val="18"/>
                <w:szCs w:val="18"/>
                <w:highlight w:val="none"/>
              </w:rPr>
              <w:t>≤2</w:t>
            </w:r>
            <w:r>
              <w:rPr>
                <w:rFonts w:hAnsi="宋体"/>
                <w:sz w:val="18"/>
                <w:szCs w:val="18"/>
                <w:highlight w:val="none"/>
              </w:rPr>
              <w:t>0</w:t>
            </w:r>
          </w:p>
        </w:tc>
        <w:tc>
          <w:tcPr>
            <w:tcW w:w="1559" w:type="dxa"/>
            <w:tcBorders>
              <w:top w:val="single" w:color="auto" w:sz="8" w:space="0"/>
            </w:tcBorders>
            <w:vAlign w:val="center"/>
          </w:tcPr>
          <w:p>
            <w:pPr>
              <w:pStyle w:val="233"/>
              <w:ind w:firstLine="0" w:firstLineChars="0"/>
              <w:jc w:val="center"/>
              <w:rPr>
                <w:sz w:val="18"/>
                <w:szCs w:val="18"/>
                <w:highlight w:val="none"/>
              </w:rPr>
            </w:pPr>
            <w:r>
              <w:rPr>
                <w:rFonts w:hint="eastAsia"/>
                <w:sz w:val="18"/>
                <w:szCs w:val="18"/>
                <w:highlight w:val="none"/>
              </w:rPr>
              <w:t>良好</w:t>
            </w:r>
          </w:p>
        </w:tc>
        <w:tc>
          <w:tcPr>
            <w:tcW w:w="1696" w:type="dxa"/>
            <w:tcBorders>
              <w:top w:val="single" w:color="auto" w:sz="8" w:space="0"/>
            </w:tcBorders>
            <w:vAlign w:val="center"/>
          </w:tcPr>
          <w:p>
            <w:pPr>
              <w:pStyle w:val="233"/>
              <w:ind w:firstLine="0" w:firstLineChars="0"/>
              <w:jc w:val="center"/>
              <w:rPr>
                <w:sz w:val="18"/>
                <w:szCs w:val="18"/>
                <w:highlight w:val="none"/>
              </w:rPr>
            </w:pPr>
            <w:r>
              <w:rPr>
                <w:rFonts w:hint="eastAsia" w:hAnsi="宋体"/>
                <w:sz w:val="18"/>
                <w:szCs w:val="18"/>
                <w:highlight w:val="none"/>
              </w:rPr>
              <w:t>≥1.5</w:t>
            </w:r>
          </w:p>
        </w:tc>
        <w:tc>
          <w:tcPr>
            <w:tcW w:w="1417" w:type="dxa"/>
            <w:tcBorders>
              <w:top w:val="single" w:color="auto" w:sz="8" w:space="0"/>
            </w:tcBorders>
            <w:vAlign w:val="center"/>
          </w:tcPr>
          <w:p>
            <w:pPr>
              <w:pStyle w:val="233"/>
              <w:ind w:firstLine="0" w:firstLineChars="0"/>
              <w:jc w:val="center"/>
              <w:rPr>
                <w:rFonts w:hAnsi="宋体"/>
                <w:sz w:val="18"/>
                <w:szCs w:val="18"/>
                <w:highlight w:val="none"/>
              </w:rPr>
            </w:pPr>
            <w:r>
              <w:rPr>
                <w:rFonts w:hint="eastAsia"/>
                <w:sz w:val="18"/>
                <w:szCs w:val="18"/>
                <w:highlight w:val="none"/>
              </w:rPr>
              <w:t>由供需双方协商确定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74" w:type="dxa"/>
            <w:vAlign w:val="center"/>
          </w:tcPr>
          <w:p>
            <w:pPr>
              <w:pStyle w:val="233"/>
              <w:ind w:firstLine="0" w:firstLineChars="0"/>
              <w:jc w:val="center"/>
              <w:rPr>
                <w:rFonts w:hAnsi="宋体"/>
                <w:sz w:val="18"/>
                <w:szCs w:val="18"/>
                <w:highlight w:val="none"/>
              </w:rPr>
            </w:pPr>
            <w:r>
              <w:rPr>
                <w:rFonts w:hint="eastAsia" w:hAnsi="宋体"/>
                <w:sz w:val="18"/>
                <w:szCs w:val="18"/>
                <w:highlight w:val="none"/>
              </w:rPr>
              <w:t>副栅</w:t>
            </w:r>
          </w:p>
        </w:tc>
        <w:tc>
          <w:tcPr>
            <w:tcW w:w="1842" w:type="dxa"/>
            <w:vAlign w:val="center"/>
          </w:tcPr>
          <w:p>
            <w:pPr>
              <w:pStyle w:val="233"/>
              <w:ind w:firstLine="0" w:firstLineChars="0"/>
              <w:jc w:val="center"/>
              <w:rPr>
                <w:rFonts w:hAnsi="宋体"/>
                <w:sz w:val="18"/>
                <w:szCs w:val="18"/>
                <w:highlight w:val="none"/>
              </w:rPr>
            </w:pPr>
            <w:r>
              <w:rPr>
                <w:rFonts w:hint="eastAsia" w:hAnsi="宋体"/>
                <w:sz w:val="18"/>
                <w:szCs w:val="18"/>
                <w:highlight w:val="none"/>
              </w:rPr>
              <w:t>表面平整致密；颜色呈均匀光亮的白色</w:t>
            </w:r>
          </w:p>
        </w:tc>
        <w:tc>
          <w:tcPr>
            <w:tcW w:w="993" w:type="dxa"/>
            <w:vAlign w:val="center"/>
          </w:tcPr>
          <w:p>
            <w:pPr>
              <w:pStyle w:val="233"/>
              <w:ind w:firstLine="0" w:firstLineChars="0"/>
              <w:jc w:val="center"/>
              <w:rPr>
                <w:rFonts w:hAnsi="宋体"/>
                <w:sz w:val="18"/>
                <w:szCs w:val="18"/>
                <w:highlight w:val="none"/>
              </w:rPr>
            </w:pPr>
            <w:r>
              <w:rPr>
                <w:rFonts w:hint="eastAsia" w:hAnsi="宋体"/>
                <w:sz w:val="18"/>
                <w:szCs w:val="18"/>
                <w:highlight w:val="none"/>
              </w:rPr>
              <w:t>≤5</w:t>
            </w:r>
          </w:p>
        </w:tc>
        <w:tc>
          <w:tcPr>
            <w:tcW w:w="1134" w:type="dxa"/>
            <w:vAlign w:val="center"/>
          </w:tcPr>
          <w:p>
            <w:pPr>
              <w:pStyle w:val="233"/>
              <w:ind w:firstLine="0" w:firstLineChars="0"/>
              <w:jc w:val="center"/>
              <w:rPr>
                <w:rFonts w:hAnsi="宋体"/>
                <w:sz w:val="18"/>
                <w:szCs w:val="18"/>
                <w:highlight w:val="none"/>
              </w:rPr>
            </w:pPr>
            <w:r>
              <w:rPr>
                <w:rFonts w:hint="eastAsia" w:hAnsi="宋体"/>
                <w:sz w:val="18"/>
                <w:szCs w:val="18"/>
                <w:highlight w:val="none"/>
              </w:rPr>
              <w:t>≤1</w:t>
            </w:r>
            <w:r>
              <w:rPr>
                <w:rFonts w:hAnsi="宋体"/>
                <w:sz w:val="18"/>
                <w:szCs w:val="18"/>
                <w:highlight w:val="none"/>
              </w:rPr>
              <w:t>0</w:t>
            </w:r>
          </w:p>
        </w:tc>
        <w:tc>
          <w:tcPr>
            <w:tcW w:w="1559" w:type="dxa"/>
            <w:vAlign w:val="center"/>
          </w:tcPr>
          <w:p>
            <w:pPr>
              <w:pStyle w:val="233"/>
              <w:ind w:firstLine="0" w:firstLineChars="0"/>
              <w:rPr>
                <w:sz w:val="18"/>
                <w:szCs w:val="18"/>
                <w:highlight w:val="none"/>
              </w:rPr>
            </w:pPr>
            <w:r>
              <w:rPr>
                <w:rFonts w:hint="eastAsia"/>
                <w:sz w:val="18"/>
                <w:szCs w:val="18"/>
                <w:highlight w:val="none"/>
              </w:rPr>
              <w:t>无(注：0BB工艺，要求良好)</w:t>
            </w:r>
          </w:p>
        </w:tc>
        <w:tc>
          <w:tcPr>
            <w:tcW w:w="1696" w:type="dxa"/>
            <w:vAlign w:val="center"/>
          </w:tcPr>
          <w:p>
            <w:pPr>
              <w:pStyle w:val="233"/>
              <w:ind w:firstLine="0" w:firstLineChars="0"/>
              <w:rPr>
                <w:sz w:val="18"/>
                <w:szCs w:val="18"/>
                <w:highlight w:val="none"/>
              </w:rPr>
            </w:pPr>
            <w:r>
              <w:rPr>
                <w:rFonts w:hint="eastAsia" w:hAnsi="宋体"/>
                <w:sz w:val="18"/>
                <w:szCs w:val="18"/>
                <w:highlight w:val="none"/>
              </w:rPr>
              <w:t>无(注：</w:t>
            </w:r>
            <w:r>
              <w:rPr>
                <w:rFonts w:hAnsi="宋体"/>
                <w:sz w:val="18"/>
                <w:szCs w:val="18"/>
                <w:highlight w:val="none"/>
              </w:rPr>
              <w:t>0BB</w:t>
            </w:r>
            <w:r>
              <w:rPr>
                <w:rFonts w:hint="eastAsia" w:hAnsi="宋体"/>
                <w:sz w:val="18"/>
                <w:szCs w:val="18"/>
                <w:highlight w:val="none"/>
              </w:rPr>
              <w:t>工艺，要求合格)</w:t>
            </w:r>
          </w:p>
        </w:tc>
        <w:tc>
          <w:tcPr>
            <w:tcW w:w="1417" w:type="dxa"/>
            <w:vAlign w:val="center"/>
          </w:tcPr>
          <w:p>
            <w:pPr>
              <w:pStyle w:val="233"/>
              <w:ind w:firstLine="0" w:firstLineChars="0"/>
              <w:jc w:val="center"/>
              <w:rPr>
                <w:sz w:val="18"/>
                <w:szCs w:val="18"/>
                <w:highlight w:val="none"/>
              </w:rPr>
            </w:pPr>
            <w:r>
              <w:rPr>
                <w:rFonts w:hint="eastAsia"/>
                <w:sz w:val="18"/>
                <w:szCs w:val="18"/>
                <w:highlight w:val="none"/>
              </w:rPr>
              <w:t>由供需双方协商确定</w:t>
            </w:r>
          </w:p>
        </w:tc>
      </w:tr>
      <w:bookmarkEnd w:id="66"/>
      <w:bookmarkEnd w:id="67"/>
      <w:bookmarkEnd w:id="68"/>
      <w:bookmarkEnd w:id="69"/>
      <w:bookmarkEnd w:id="70"/>
      <w:bookmarkEnd w:id="71"/>
    </w:tbl>
    <w:p>
      <w:pPr>
        <w:pStyle w:val="106"/>
        <w:spacing w:before="240" w:after="240"/>
        <w:rPr>
          <w:rFonts w:hint="eastAsia"/>
          <w:highlight w:val="none"/>
        </w:rPr>
      </w:pPr>
      <w:bookmarkStart w:id="72" w:name="_Toc137568408"/>
      <w:bookmarkStart w:id="73" w:name="_Toc368"/>
      <w:bookmarkStart w:id="74" w:name="_Toc461376759"/>
      <w:bookmarkStart w:id="75" w:name="_Toc9606"/>
      <w:bookmarkStart w:id="76" w:name="_Toc367039879"/>
      <w:r>
        <w:rPr>
          <w:rFonts w:hint="eastAsia"/>
          <w:highlight w:val="none"/>
        </w:rPr>
        <w:t>试验方法</w:t>
      </w:r>
      <w:bookmarkEnd w:id="72"/>
      <w:bookmarkEnd w:id="73"/>
      <w:bookmarkEnd w:id="74"/>
      <w:bookmarkEnd w:id="75"/>
    </w:p>
    <w:p>
      <w:pPr>
        <w:pStyle w:val="107"/>
        <w:spacing w:before="120" w:after="120"/>
        <w:rPr>
          <w:rFonts w:hint="eastAsia"/>
          <w:highlight w:val="none"/>
        </w:rPr>
      </w:pPr>
      <w:bookmarkStart w:id="77" w:name="_Toc26574"/>
      <w:bookmarkStart w:id="78" w:name="_Toc31642"/>
      <w:bookmarkStart w:id="79" w:name="_Toc461376760"/>
      <w:bookmarkStart w:id="80" w:name="_Toc137568409"/>
      <w:r>
        <w:rPr>
          <w:rFonts w:hint="eastAsia"/>
          <w:highlight w:val="none"/>
        </w:rPr>
        <w:t>试验条件</w:t>
      </w:r>
      <w:bookmarkEnd w:id="76"/>
      <w:bookmarkEnd w:id="77"/>
      <w:bookmarkEnd w:id="78"/>
      <w:bookmarkEnd w:id="79"/>
      <w:bookmarkEnd w:id="80"/>
    </w:p>
    <w:p>
      <w:pPr>
        <w:pStyle w:val="233"/>
        <w:tabs>
          <w:tab w:val="clear" w:pos="4201"/>
          <w:tab w:val="clear" w:pos="9298"/>
        </w:tabs>
        <w:rPr>
          <w:highlight w:val="none"/>
        </w:rPr>
      </w:pPr>
      <w:bookmarkStart w:id="81" w:name="_Toc18513"/>
      <w:bookmarkStart w:id="82" w:name="_Toc355888695"/>
      <w:bookmarkStart w:id="83" w:name="_Toc448080662"/>
      <w:r>
        <w:rPr>
          <w:rFonts w:hint="eastAsia"/>
          <w:highlight w:val="none"/>
        </w:rPr>
        <w:t>除非另有规定，固化型银浆的试验温度应在（15～35）℃，相对湿度（30～80）%试验环境下进行。</w:t>
      </w:r>
      <w:bookmarkEnd w:id="81"/>
      <w:bookmarkEnd w:id="82"/>
      <w:bookmarkEnd w:id="83"/>
    </w:p>
    <w:p>
      <w:pPr>
        <w:pStyle w:val="107"/>
        <w:spacing w:before="120" w:after="120"/>
        <w:rPr>
          <w:rFonts w:hint="eastAsia"/>
          <w:highlight w:val="none"/>
        </w:rPr>
      </w:pPr>
      <w:bookmarkStart w:id="84" w:name="_Toc137568410"/>
      <w:bookmarkStart w:id="85" w:name="_Toc10840"/>
      <w:bookmarkStart w:id="86" w:name="_Toc461376761"/>
      <w:r>
        <w:rPr>
          <w:rFonts w:hint="eastAsia"/>
          <w:highlight w:val="none"/>
        </w:rPr>
        <w:t>外观检查</w:t>
      </w:r>
      <w:bookmarkEnd w:id="84"/>
      <w:bookmarkEnd w:id="85"/>
    </w:p>
    <w:p>
      <w:pPr>
        <w:pStyle w:val="233"/>
        <w:rPr>
          <w:highlight w:val="none"/>
        </w:rPr>
      </w:pPr>
      <w:r>
        <w:rPr>
          <w:rFonts w:hint="eastAsia"/>
          <w:highlight w:val="none"/>
        </w:rPr>
        <w:t>固化型银浆及其成膜后的外观应在</w:t>
      </w:r>
      <w:r>
        <w:rPr>
          <w:rFonts w:hint="eastAsia" w:hAnsi="宋体"/>
          <w:highlight w:val="none"/>
        </w:rPr>
        <w:t>照度不小于1000 lux的环境下</w:t>
      </w:r>
      <w:r>
        <w:rPr>
          <w:rFonts w:hint="eastAsia"/>
          <w:highlight w:val="none"/>
        </w:rPr>
        <w:t>目视检查。银浆外观检查前应充分搅拌均匀。</w:t>
      </w:r>
    </w:p>
    <w:p>
      <w:pPr>
        <w:pStyle w:val="107"/>
        <w:spacing w:before="120" w:after="120"/>
        <w:rPr>
          <w:highlight w:val="none"/>
        </w:rPr>
      </w:pPr>
      <w:bookmarkStart w:id="87" w:name="_Toc14617"/>
      <w:bookmarkStart w:id="88" w:name="_Toc137568411"/>
      <w:r>
        <w:rPr>
          <w:rFonts w:hint="eastAsia"/>
          <w:highlight w:val="none"/>
        </w:rPr>
        <w:t>固体含量</w:t>
      </w:r>
      <w:bookmarkEnd w:id="86"/>
      <w:bookmarkEnd w:id="87"/>
      <w:bookmarkEnd w:id="88"/>
    </w:p>
    <w:p>
      <w:pPr>
        <w:pStyle w:val="67"/>
        <w:spacing w:before="120" w:after="120"/>
        <w:rPr>
          <w:highlight w:val="none"/>
        </w:rPr>
      </w:pPr>
      <w:bookmarkStart w:id="89" w:name="_Toc6251"/>
      <w:bookmarkStart w:id="90" w:name="_Toc137568412"/>
      <w:bookmarkStart w:id="91" w:name="_Toc28170"/>
      <w:bookmarkStart w:id="92" w:name="_Toc367039885"/>
      <w:bookmarkStart w:id="93" w:name="_Toc355888710"/>
      <w:bookmarkStart w:id="94" w:name="_Toc355889043"/>
      <w:r>
        <w:rPr>
          <w:rFonts w:hint="eastAsia"/>
          <w:highlight w:val="none"/>
        </w:rPr>
        <w:t>仪器设备</w:t>
      </w:r>
      <w:bookmarkEnd w:id="89"/>
      <w:bookmarkEnd w:id="90"/>
    </w:p>
    <w:p>
      <w:pPr>
        <w:pStyle w:val="233"/>
        <w:rPr>
          <w:highlight w:val="none"/>
        </w:rPr>
      </w:pPr>
      <w:r>
        <w:rPr>
          <w:rFonts w:hint="eastAsia"/>
          <w:highlight w:val="none"/>
        </w:rPr>
        <w:t>试验所需仪器设备如下：</w:t>
      </w:r>
    </w:p>
    <w:p>
      <w:pPr>
        <w:pStyle w:val="176"/>
        <w:rPr>
          <w:highlight w:val="none"/>
        </w:rPr>
      </w:pPr>
      <w:r>
        <w:rPr>
          <w:rFonts w:hint="eastAsia" w:ascii="宋体" w:hAnsi="Times New Roman" w:eastAsia="宋体" w:cs="Times New Roman"/>
          <w:sz w:val="21"/>
          <w:highlight w:val="none"/>
          <w:lang w:val="en-US" w:eastAsia="zh-CN" w:bidi="ar-SA"/>
        </w:rPr>
        <w:t>天平：精度为0.0001 g。</w:t>
      </w:r>
    </w:p>
    <w:p>
      <w:pPr>
        <w:pStyle w:val="176"/>
        <w:rPr>
          <w:highlight w:val="none"/>
        </w:rPr>
      </w:pPr>
      <w:r>
        <w:rPr>
          <w:rFonts w:hint="eastAsia"/>
          <w:highlight w:val="none"/>
          <w:lang w:val="en-US" w:eastAsia="zh-CN"/>
        </w:rPr>
        <w:t>马弗炉</w:t>
      </w:r>
      <w:r>
        <w:rPr>
          <w:rFonts w:hint="eastAsia"/>
          <w:highlight w:val="none"/>
        </w:rPr>
        <w:t>：工作温度可达到600℃，控温精度</w:t>
      </w:r>
      <w:r>
        <w:rPr>
          <w:rFonts w:hint="eastAsia"/>
          <w:highlight w:val="none"/>
          <w:lang w:val="en-US" w:eastAsia="zh-CN"/>
        </w:rPr>
        <w:t>为</w:t>
      </w:r>
      <w:r>
        <w:rPr>
          <w:rFonts w:hint="eastAsia"/>
          <w:highlight w:val="none"/>
        </w:rPr>
        <w:t>±</w:t>
      </w:r>
      <w:r>
        <w:rPr>
          <w:rFonts w:hint="eastAsia"/>
          <w:highlight w:val="none"/>
          <w:lang w:val="en-US" w:eastAsia="zh-CN"/>
        </w:rPr>
        <w:t>1</w:t>
      </w:r>
      <w:r>
        <w:rPr>
          <w:rFonts w:hint="eastAsia"/>
          <w:highlight w:val="none"/>
        </w:rPr>
        <w:t xml:space="preserve"> ℃。</w:t>
      </w:r>
    </w:p>
    <w:p>
      <w:pPr>
        <w:pStyle w:val="176"/>
        <w:rPr>
          <w:highlight w:val="none"/>
        </w:rPr>
      </w:pPr>
      <w:r>
        <w:rPr>
          <w:rFonts w:hint="eastAsia"/>
          <w:highlight w:val="none"/>
        </w:rPr>
        <w:t>陶瓷容量器（坩埚2ml</w:t>
      </w:r>
      <w:r>
        <w:rPr>
          <w:rFonts w:hint="eastAsia"/>
          <w:highlight w:val="none"/>
          <w:lang w:val="en-US" w:eastAsia="zh-CN"/>
        </w:rPr>
        <w:t>～</w:t>
      </w:r>
      <w:r>
        <w:rPr>
          <w:highlight w:val="none"/>
        </w:rPr>
        <w:t>4</w:t>
      </w:r>
      <w:r>
        <w:rPr>
          <w:rFonts w:hint="eastAsia"/>
          <w:highlight w:val="none"/>
        </w:rPr>
        <w:t>ml或者陶瓷片&gt;4</w:t>
      </w:r>
      <w:r>
        <w:rPr>
          <w:highlight w:val="none"/>
        </w:rPr>
        <w:t>c</w:t>
      </w:r>
      <w:r>
        <w:rPr>
          <w:rFonts w:hint="eastAsia"/>
          <w:highlight w:val="none"/>
        </w:rPr>
        <w:t>m</w:t>
      </w:r>
      <w:r>
        <w:rPr>
          <w:rFonts w:hint="eastAsia"/>
          <w:highlight w:val="none"/>
          <w:vertAlign w:val="superscript"/>
        </w:rPr>
        <w:t>2</w:t>
      </w:r>
      <w:r>
        <w:rPr>
          <w:rFonts w:hint="eastAsia"/>
          <w:highlight w:val="none"/>
          <w:lang w:val="en-US" w:eastAsia="zh-CN"/>
        </w:rPr>
        <w:t>～</w:t>
      </w:r>
      <w:r>
        <w:rPr>
          <w:highlight w:val="none"/>
        </w:rPr>
        <w:t>8c</w:t>
      </w:r>
      <w:r>
        <w:rPr>
          <w:rFonts w:hint="eastAsia"/>
          <w:highlight w:val="none"/>
        </w:rPr>
        <w:t>m</w:t>
      </w:r>
      <w:r>
        <w:rPr>
          <w:rFonts w:hint="eastAsia"/>
          <w:highlight w:val="none"/>
          <w:vertAlign w:val="superscript"/>
        </w:rPr>
        <w:t>2</w:t>
      </w:r>
      <w:r>
        <w:rPr>
          <w:rFonts w:hint="eastAsia"/>
          <w:highlight w:val="none"/>
        </w:rPr>
        <w:t>）。</w:t>
      </w:r>
    </w:p>
    <w:p>
      <w:pPr>
        <w:pStyle w:val="176"/>
        <w:rPr>
          <w:rFonts w:hint="eastAsia"/>
          <w:highlight w:val="none"/>
        </w:rPr>
      </w:pPr>
      <w:r>
        <w:rPr>
          <w:rFonts w:hint="eastAsia"/>
          <w:highlight w:val="none"/>
        </w:rPr>
        <w:t>干燥器：附带变色硅胶干燥剂。</w:t>
      </w:r>
    </w:p>
    <w:p>
      <w:pPr>
        <w:pStyle w:val="176"/>
        <w:rPr>
          <w:highlight w:val="none"/>
        </w:rPr>
      </w:pPr>
      <w:r>
        <w:rPr>
          <w:rFonts w:hint="eastAsia"/>
          <w:highlight w:val="none"/>
        </w:rPr>
        <w:t>将陶瓷容量器放入已升温至</w:t>
      </w:r>
      <w:r>
        <w:rPr>
          <w:highlight w:val="none"/>
        </w:rPr>
        <w:t>60</w:t>
      </w:r>
      <w:r>
        <w:rPr>
          <w:rFonts w:hint="eastAsia"/>
          <w:highlight w:val="none"/>
        </w:rPr>
        <w:t>0℃的马弗炉中烘干5 min，烘干后的陶瓷容量器放置于干燥器中保存备用。</w:t>
      </w:r>
    </w:p>
    <w:p>
      <w:pPr>
        <w:pStyle w:val="67"/>
        <w:spacing w:before="120" w:after="120"/>
        <w:rPr>
          <w:highlight w:val="none"/>
        </w:rPr>
      </w:pPr>
      <w:bookmarkStart w:id="95" w:name="_Toc818"/>
      <w:bookmarkStart w:id="96" w:name="_Toc137568413"/>
      <w:r>
        <w:rPr>
          <w:rFonts w:hint="eastAsia"/>
          <w:highlight w:val="none"/>
        </w:rPr>
        <w:t>试样</w:t>
      </w:r>
      <w:bookmarkEnd w:id="95"/>
      <w:bookmarkEnd w:id="96"/>
    </w:p>
    <w:p>
      <w:pPr>
        <w:pStyle w:val="233"/>
        <w:rPr>
          <w:highlight w:val="none"/>
        </w:rPr>
      </w:pPr>
      <w:r>
        <w:rPr>
          <w:rFonts w:hint="eastAsia"/>
          <w:highlight w:val="none"/>
        </w:rPr>
        <w:t>将样品搅拌均匀，称取三份1 g</w:t>
      </w:r>
      <w:r>
        <w:rPr>
          <w:rFonts w:hint="eastAsia"/>
          <w:highlight w:val="none"/>
          <w:lang w:val="en-US" w:eastAsia="zh-CN"/>
        </w:rPr>
        <w:t>～</w:t>
      </w:r>
      <w:r>
        <w:rPr>
          <w:rFonts w:hint="eastAsia"/>
          <w:highlight w:val="none"/>
        </w:rPr>
        <w:t>1.5g的试料，准确至0.0001 g，分别置于已恒重的陶瓷坩埚中或陶瓷片上。</w:t>
      </w:r>
    </w:p>
    <w:p>
      <w:pPr>
        <w:pStyle w:val="67"/>
        <w:spacing w:before="120" w:after="120"/>
        <w:rPr>
          <w:rFonts w:hint="eastAsia"/>
          <w:highlight w:val="none"/>
        </w:rPr>
      </w:pPr>
      <w:bookmarkStart w:id="97" w:name="_Toc137568414"/>
      <w:bookmarkStart w:id="98" w:name="_Toc570"/>
      <w:r>
        <w:rPr>
          <w:rFonts w:hint="eastAsia"/>
          <w:highlight w:val="none"/>
        </w:rPr>
        <w:t>步骤</w:t>
      </w:r>
      <w:bookmarkEnd w:id="97"/>
      <w:bookmarkEnd w:id="98"/>
    </w:p>
    <w:p>
      <w:pPr>
        <w:pStyle w:val="233"/>
        <w:rPr>
          <w:highlight w:val="none"/>
        </w:rPr>
      </w:pPr>
      <w:r>
        <w:rPr>
          <w:rFonts w:hint="eastAsia"/>
          <w:highlight w:val="none"/>
        </w:rPr>
        <w:t>将装有试料的陶瓷坩埚或陶瓷片置于</w:t>
      </w:r>
      <w:r>
        <w:rPr>
          <w:rFonts w:hint="eastAsia"/>
          <w:highlight w:val="none"/>
          <w:lang w:val="en-US" w:eastAsia="zh-CN"/>
        </w:rPr>
        <w:t>马弗</w:t>
      </w:r>
      <w:r>
        <w:rPr>
          <w:rFonts w:hint="eastAsia"/>
          <w:highlight w:val="none"/>
        </w:rPr>
        <w:t>炉中，在保证氧气充分的</w:t>
      </w:r>
      <w:bookmarkStart w:id="216" w:name="_GoBack"/>
      <w:bookmarkEnd w:id="216"/>
      <w:r>
        <w:rPr>
          <w:rFonts w:hint="eastAsia"/>
          <w:highlight w:val="none"/>
        </w:rPr>
        <w:t>情况下，升温至</w:t>
      </w:r>
      <w:r>
        <w:rPr>
          <w:highlight w:val="none"/>
        </w:rPr>
        <w:t>6</w:t>
      </w:r>
      <w:r>
        <w:rPr>
          <w:rFonts w:hint="eastAsia"/>
          <w:highlight w:val="none"/>
        </w:rPr>
        <w:t>00℃，保温</w:t>
      </w:r>
      <w:r>
        <w:rPr>
          <w:highlight w:val="none"/>
        </w:rPr>
        <w:t>6</w:t>
      </w:r>
      <w:r>
        <w:rPr>
          <w:rFonts w:hint="eastAsia"/>
          <w:highlight w:val="none"/>
        </w:rPr>
        <w:t>0</w:t>
      </w:r>
      <w:r>
        <w:rPr>
          <w:highlight w:val="none"/>
        </w:rPr>
        <w:t xml:space="preserve"> </w:t>
      </w:r>
      <w:r>
        <w:rPr>
          <w:rFonts w:hint="eastAsia"/>
          <w:highlight w:val="none"/>
        </w:rPr>
        <w:t>min。关闭电源，打开炉门冷却至（80～100）℃，取出装有试料的陶瓷容器，置于装有干燥剂的干燥器中，冷却至室温，称重。</w:t>
      </w:r>
    </w:p>
    <w:p>
      <w:pPr>
        <w:pStyle w:val="67"/>
        <w:spacing w:before="120" w:after="120"/>
        <w:rPr>
          <w:rFonts w:hint="eastAsia"/>
          <w:highlight w:val="none"/>
        </w:rPr>
      </w:pPr>
      <w:bookmarkStart w:id="99" w:name="_Toc137568415"/>
      <w:bookmarkStart w:id="100" w:name="_Toc26812"/>
      <w:r>
        <w:rPr>
          <w:rFonts w:hint="eastAsia"/>
          <w:highlight w:val="none"/>
        </w:rPr>
        <w:t>结果计算</w:t>
      </w:r>
      <w:bookmarkEnd w:id="99"/>
      <w:bookmarkEnd w:id="100"/>
    </w:p>
    <w:p>
      <w:pPr>
        <w:pStyle w:val="166"/>
        <w:bidi w:val="0"/>
        <w:rPr>
          <w:rFonts w:hint="eastAsia"/>
          <w:highlight w:val="none"/>
        </w:rPr>
      </w:pPr>
      <w:r>
        <w:rPr>
          <w:rFonts w:hint="eastAsia"/>
          <w:highlight w:val="none"/>
        </w:rPr>
        <w:t>银浆中固体质量分数按照公式（1）计算：</w:t>
      </w:r>
    </w:p>
    <w:p>
      <w:pPr>
        <w:pStyle w:val="233"/>
        <w:ind w:firstLine="0" w:firstLineChars="0"/>
        <w:jc w:val="right"/>
        <w:rPr>
          <w:highlight w:val="none"/>
        </w:rPr>
      </w:pPr>
      <m:oMath>
        <m:r>
          <m:rPr/>
          <w:rPr>
            <w:rFonts w:ascii="Cambria Math" w:hAnsi="Cambria Math"/>
            <w:sz w:val="28"/>
            <w:szCs w:val="24"/>
            <w:highlight w:val="none"/>
          </w:rPr>
          <m:t xml:space="preserve">w= </m:t>
        </m:r>
        <m:f>
          <m:fPr>
            <m:ctrlPr>
              <w:rPr>
                <w:rFonts w:ascii="Cambria Math" w:hAnsi="Cambria Math"/>
                <w:i/>
                <w:sz w:val="28"/>
                <w:szCs w:val="24"/>
                <w:highlight w:val="none"/>
              </w:rPr>
            </m:ctrlPr>
          </m:fPr>
          <m:num>
            <m:sSub>
              <m:sSubPr>
                <m:ctrlPr>
                  <w:rPr>
                    <w:rFonts w:ascii="Cambria Math" w:hAnsi="Cambria Math"/>
                    <w:i/>
                    <w:sz w:val="28"/>
                    <w:szCs w:val="24"/>
                    <w:highlight w:val="none"/>
                  </w:rPr>
                </m:ctrlPr>
              </m:sSubPr>
              <m:e>
                <m:r>
                  <m:rPr/>
                  <w:rPr>
                    <w:rFonts w:ascii="Cambria Math" w:hAnsi="Cambria Math"/>
                    <w:sz w:val="28"/>
                    <w:szCs w:val="24"/>
                    <w:highlight w:val="none"/>
                  </w:rPr>
                  <m:t>m</m:t>
                </m:r>
                <m:ctrlPr>
                  <w:rPr>
                    <w:rFonts w:ascii="Cambria Math" w:hAnsi="Cambria Math"/>
                    <w:i/>
                    <w:sz w:val="28"/>
                    <w:szCs w:val="24"/>
                    <w:highlight w:val="none"/>
                  </w:rPr>
                </m:ctrlPr>
              </m:e>
              <m:sub>
                <m:r>
                  <m:rPr/>
                  <w:rPr>
                    <w:rFonts w:ascii="Cambria Math" w:hAnsi="Cambria Math"/>
                    <w:sz w:val="28"/>
                    <w:szCs w:val="24"/>
                    <w:highlight w:val="none"/>
                  </w:rPr>
                  <m:t>2</m:t>
                </m:r>
                <m:ctrlPr>
                  <w:rPr>
                    <w:rFonts w:ascii="Cambria Math" w:hAnsi="Cambria Math"/>
                    <w:i/>
                    <w:sz w:val="28"/>
                    <w:szCs w:val="24"/>
                    <w:highlight w:val="none"/>
                  </w:rPr>
                </m:ctrlPr>
              </m:sub>
            </m:sSub>
            <m:r>
              <m:rPr/>
              <w:rPr>
                <w:rFonts w:ascii="Cambria Math" w:hAnsi="Cambria Math"/>
                <w:sz w:val="28"/>
                <w:szCs w:val="24"/>
                <w:highlight w:val="none"/>
              </w:rPr>
              <m:t>−m</m:t>
            </m:r>
            <m:ctrlPr>
              <w:rPr>
                <w:rFonts w:ascii="Cambria Math" w:hAnsi="Cambria Math"/>
                <w:i/>
                <w:sz w:val="28"/>
                <w:szCs w:val="24"/>
                <w:highlight w:val="none"/>
              </w:rPr>
            </m:ctrlPr>
          </m:num>
          <m:den>
            <m:sSub>
              <m:sSubPr>
                <m:ctrlPr>
                  <w:rPr>
                    <w:rFonts w:ascii="Cambria Math" w:hAnsi="Cambria Math"/>
                    <w:i/>
                    <w:sz w:val="28"/>
                    <w:szCs w:val="24"/>
                    <w:highlight w:val="none"/>
                  </w:rPr>
                </m:ctrlPr>
              </m:sSubPr>
              <m:e>
                <m:r>
                  <m:rPr/>
                  <w:rPr>
                    <w:rFonts w:ascii="Cambria Math" w:hAnsi="Cambria Math"/>
                    <w:sz w:val="28"/>
                    <w:szCs w:val="24"/>
                    <w:highlight w:val="none"/>
                  </w:rPr>
                  <m:t>m</m:t>
                </m:r>
                <m:ctrlPr>
                  <w:rPr>
                    <w:rFonts w:ascii="Cambria Math" w:hAnsi="Cambria Math"/>
                    <w:i/>
                    <w:sz w:val="28"/>
                    <w:szCs w:val="24"/>
                    <w:highlight w:val="none"/>
                  </w:rPr>
                </m:ctrlPr>
              </m:e>
              <m:sub>
                <m:r>
                  <m:rPr/>
                  <w:rPr>
                    <w:rFonts w:ascii="Cambria Math" w:hAnsi="Cambria Math"/>
                    <w:sz w:val="28"/>
                    <w:szCs w:val="24"/>
                    <w:highlight w:val="none"/>
                  </w:rPr>
                  <m:t>1</m:t>
                </m:r>
                <m:ctrlPr>
                  <w:rPr>
                    <w:rFonts w:ascii="Cambria Math" w:hAnsi="Cambria Math"/>
                    <w:i/>
                    <w:sz w:val="28"/>
                    <w:szCs w:val="24"/>
                    <w:highlight w:val="none"/>
                  </w:rPr>
                </m:ctrlPr>
              </m:sub>
            </m:sSub>
            <m:r>
              <m:rPr/>
              <w:rPr>
                <w:rFonts w:ascii="Cambria Math" w:hAnsi="Cambria Math"/>
                <w:sz w:val="28"/>
                <w:szCs w:val="24"/>
                <w:highlight w:val="none"/>
              </w:rPr>
              <m:t>−m</m:t>
            </m:r>
            <m:ctrlPr>
              <w:rPr>
                <w:rFonts w:ascii="Cambria Math" w:hAnsi="Cambria Math"/>
                <w:i/>
                <w:sz w:val="28"/>
                <w:szCs w:val="24"/>
                <w:highlight w:val="none"/>
              </w:rPr>
            </m:ctrlPr>
          </m:den>
        </m:f>
        <m:r>
          <m:rPr/>
          <w:rPr>
            <w:rFonts w:ascii="Cambria Math" w:hAnsi="Cambria Math"/>
            <w:sz w:val="28"/>
            <w:szCs w:val="24"/>
            <w:highlight w:val="none"/>
          </w:rPr>
          <m:t xml:space="preserve"> ×100%</m:t>
        </m:r>
      </m:oMath>
      <w:r>
        <w:rPr>
          <w:rFonts w:hint="eastAsia"/>
          <w:highlight w:val="none"/>
        </w:rPr>
        <w:t>…………………………………………</w:t>
      </w:r>
      <w:r>
        <w:rPr>
          <w:highlight w:val="none"/>
        </w:rPr>
        <w:t xml:space="preserve"> </w:t>
      </w:r>
      <w:r>
        <w:rPr>
          <w:rFonts w:hint="eastAsia"/>
          <w:highlight w:val="none"/>
        </w:rPr>
        <w:t>（1）</w:t>
      </w:r>
    </w:p>
    <w:p>
      <w:pPr>
        <w:pStyle w:val="233"/>
        <w:ind w:firstLine="0" w:firstLineChars="0"/>
        <w:jc w:val="right"/>
        <w:rPr>
          <w:rFonts w:hAnsi="宋体"/>
          <w:szCs w:val="21"/>
          <w:highlight w:val="none"/>
        </w:rPr>
      </w:pPr>
    </w:p>
    <w:p>
      <w:pPr>
        <w:adjustRightInd/>
        <w:spacing w:line="320" w:lineRule="exact"/>
        <w:ind w:firstLine="424" w:firstLineChars="202"/>
        <w:rPr>
          <w:rFonts w:hint="eastAsia" w:ascii="宋体" w:hAnsi="宋体" w:eastAsia="宋体"/>
          <w:i w:val="0"/>
          <w:iCs w:val="0"/>
          <w:szCs w:val="21"/>
          <w:highlight w:val="none"/>
          <w:lang w:eastAsia="zh-CN"/>
        </w:rPr>
      </w:pPr>
      <w:r>
        <w:rPr>
          <w:rFonts w:hint="eastAsia" w:ascii="宋体" w:hAnsi="宋体"/>
          <w:i w:val="0"/>
          <w:iCs w:val="0"/>
          <w:szCs w:val="21"/>
          <w:highlight w:val="none"/>
          <w:lang w:eastAsia="zh-CN"/>
        </w:rPr>
        <w:t>式中：</w:t>
      </w:r>
    </w:p>
    <w:p>
      <w:pPr>
        <w:adjustRightInd/>
        <w:spacing w:line="320" w:lineRule="exact"/>
        <w:ind w:firstLine="424" w:firstLineChars="202"/>
        <w:rPr>
          <w:rFonts w:ascii="宋体" w:hAnsi="宋体"/>
          <w:szCs w:val="21"/>
          <w:highlight w:val="none"/>
        </w:rPr>
      </w:pPr>
      <w:r>
        <w:rPr>
          <w:rFonts w:hint="eastAsia" w:ascii="宋体" w:hAnsi="宋体"/>
          <w:i/>
          <w:iCs/>
          <w:szCs w:val="21"/>
          <w:highlight w:val="none"/>
        </w:rPr>
        <w:t>w</w:t>
      </w:r>
      <w:r>
        <w:rPr>
          <w:rFonts w:ascii="宋体" w:hAnsi="宋体"/>
          <w:szCs w:val="21"/>
          <w:highlight w:val="none"/>
        </w:rPr>
        <w:t>——</w:t>
      </w:r>
      <w:r>
        <w:rPr>
          <w:rFonts w:hint="eastAsia" w:ascii="宋体" w:hAnsi="宋体"/>
          <w:szCs w:val="21"/>
          <w:highlight w:val="none"/>
        </w:rPr>
        <w:t>银浆中固体的质量分数；</w:t>
      </w:r>
    </w:p>
    <w:p>
      <w:pPr>
        <w:adjustRightInd/>
        <w:spacing w:line="320" w:lineRule="exact"/>
        <w:ind w:firstLine="424" w:firstLineChars="202"/>
        <w:rPr>
          <w:rFonts w:ascii="宋体" w:hAnsi="宋体"/>
          <w:szCs w:val="21"/>
          <w:highlight w:val="none"/>
        </w:rPr>
      </w:pPr>
      <w:r>
        <w:rPr>
          <w:rFonts w:hint="eastAsia" w:ascii="宋体" w:hAnsi="宋体"/>
          <w:i/>
          <w:iCs/>
          <w:szCs w:val="21"/>
          <w:highlight w:val="none"/>
        </w:rPr>
        <w:t>m</w:t>
      </w:r>
      <w:r>
        <w:rPr>
          <w:rFonts w:ascii="宋体" w:hAnsi="宋体"/>
          <w:szCs w:val="21"/>
          <w:highlight w:val="none"/>
        </w:rPr>
        <w:t>——</w:t>
      </w:r>
      <w:r>
        <w:rPr>
          <w:rFonts w:hint="eastAsia" w:ascii="宋体" w:hAnsi="宋体"/>
          <w:szCs w:val="21"/>
          <w:highlight w:val="none"/>
        </w:rPr>
        <w:t>陶瓷容器的质量，单位为克（g）；</w:t>
      </w:r>
    </w:p>
    <w:p>
      <w:pPr>
        <w:adjustRightInd/>
        <w:spacing w:line="320" w:lineRule="exact"/>
        <w:ind w:firstLine="424" w:firstLineChars="202"/>
        <w:rPr>
          <w:rFonts w:ascii="宋体" w:hAnsi="宋体"/>
          <w:szCs w:val="21"/>
          <w:highlight w:val="none"/>
        </w:rPr>
      </w:pPr>
      <w:r>
        <w:rPr>
          <w:rFonts w:hint="eastAsia" w:ascii="宋体" w:hAnsi="宋体"/>
          <w:i/>
          <w:iCs/>
          <w:szCs w:val="21"/>
          <w:highlight w:val="none"/>
        </w:rPr>
        <w:t>m</w:t>
      </w:r>
      <w:r>
        <w:rPr>
          <w:rFonts w:hint="eastAsia" w:ascii="宋体" w:hAnsi="宋体"/>
          <w:szCs w:val="21"/>
          <w:highlight w:val="none"/>
          <w:vertAlign w:val="subscript"/>
        </w:rPr>
        <w:t>1</w:t>
      </w:r>
      <w:r>
        <w:rPr>
          <w:rFonts w:ascii="宋体" w:hAnsi="宋体"/>
          <w:szCs w:val="21"/>
          <w:highlight w:val="none"/>
        </w:rPr>
        <w:t>——</w:t>
      </w:r>
      <w:r>
        <w:rPr>
          <w:rFonts w:hint="eastAsia" w:ascii="宋体" w:hAnsi="宋体"/>
          <w:szCs w:val="21"/>
          <w:highlight w:val="none"/>
        </w:rPr>
        <w:t>加热之前陶瓷容器与试料质量之和，单位为克（g）；</w:t>
      </w:r>
    </w:p>
    <w:p>
      <w:pPr>
        <w:pStyle w:val="233"/>
        <w:spacing w:after="156" w:afterLines="50"/>
        <w:rPr>
          <w:highlight w:val="none"/>
        </w:rPr>
      </w:pPr>
      <w:r>
        <w:rPr>
          <w:rFonts w:hint="eastAsia" w:hAnsi="宋体"/>
          <w:i/>
          <w:iCs/>
          <w:szCs w:val="21"/>
          <w:highlight w:val="none"/>
        </w:rPr>
        <w:t>m</w:t>
      </w:r>
      <w:r>
        <w:rPr>
          <w:rFonts w:hint="eastAsia" w:hAnsi="宋体"/>
          <w:szCs w:val="21"/>
          <w:highlight w:val="none"/>
          <w:vertAlign w:val="subscript"/>
        </w:rPr>
        <w:t>2</w:t>
      </w:r>
      <w:r>
        <w:rPr>
          <w:rFonts w:hAnsi="宋体"/>
          <w:szCs w:val="21"/>
          <w:highlight w:val="none"/>
        </w:rPr>
        <w:t>——</w:t>
      </w:r>
      <w:r>
        <w:rPr>
          <w:rFonts w:hint="eastAsia" w:hAnsi="宋体"/>
          <w:szCs w:val="21"/>
          <w:highlight w:val="none"/>
        </w:rPr>
        <w:t>加热之后陶瓷容器与试料质量之和，单位为克（g）。</w:t>
      </w:r>
    </w:p>
    <w:p>
      <w:pPr>
        <w:pStyle w:val="166"/>
        <w:bidi w:val="0"/>
        <w:rPr>
          <w:rFonts w:hint="eastAsia"/>
          <w:highlight w:val="none"/>
        </w:rPr>
      </w:pPr>
      <w:r>
        <w:rPr>
          <w:rFonts w:hint="eastAsia"/>
          <w:highlight w:val="none"/>
        </w:rPr>
        <w:t>结果表示至小数点后两位，有效数字的尾数按照GB/T 8170数值修约规则进行。</w:t>
      </w:r>
    </w:p>
    <w:p>
      <w:pPr>
        <w:pStyle w:val="166"/>
        <w:bidi w:val="0"/>
        <w:rPr>
          <w:rFonts w:hint="eastAsia"/>
          <w:highlight w:val="none"/>
        </w:rPr>
      </w:pPr>
      <w:r>
        <w:rPr>
          <w:rFonts w:hint="eastAsia"/>
          <w:highlight w:val="none"/>
        </w:rPr>
        <w:t>取三份试料测试结果的算数平均值作为测试结果。</w:t>
      </w:r>
    </w:p>
    <w:p>
      <w:pPr>
        <w:pStyle w:val="166"/>
        <w:bidi w:val="0"/>
        <w:rPr>
          <w:rFonts w:hint="eastAsia"/>
          <w:highlight w:val="none"/>
        </w:rPr>
      </w:pPr>
      <w:r>
        <w:rPr>
          <w:rFonts w:hint="eastAsia"/>
          <w:highlight w:val="none"/>
        </w:rPr>
        <w:t>三份试料测试结果相互之间的差值绝对值均不应大于平均值的1%，否则重新测试。</w:t>
      </w:r>
    </w:p>
    <w:bookmarkEnd w:id="91"/>
    <w:bookmarkEnd w:id="92"/>
    <w:bookmarkEnd w:id="93"/>
    <w:bookmarkEnd w:id="94"/>
    <w:p>
      <w:pPr>
        <w:pStyle w:val="107"/>
        <w:spacing w:before="120" w:after="120"/>
        <w:rPr>
          <w:highlight w:val="none"/>
        </w:rPr>
      </w:pPr>
      <w:bookmarkStart w:id="101" w:name="_Toc9179"/>
      <w:bookmarkStart w:id="102" w:name="_Toc137568416"/>
      <w:bookmarkStart w:id="103" w:name="_Toc461376763"/>
      <w:bookmarkStart w:id="104" w:name="_Toc14324"/>
      <w:r>
        <w:rPr>
          <w:rFonts w:hint="eastAsia"/>
          <w:highlight w:val="none"/>
        </w:rPr>
        <w:t>细度</w:t>
      </w:r>
      <w:bookmarkEnd w:id="101"/>
      <w:bookmarkEnd w:id="102"/>
      <w:bookmarkEnd w:id="103"/>
    </w:p>
    <w:p>
      <w:pPr>
        <w:pStyle w:val="233"/>
        <w:rPr>
          <w:rFonts w:hAnsi="宋体"/>
          <w:highlight w:val="none"/>
        </w:rPr>
      </w:pPr>
      <w:r>
        <w:rPr>
          <w:rFonts w:hint="eastAsia" w:hAnsi="宋体"/>
          <w:highlight w:val="none"/>
        </w:rPr>
        <w:t>取三份试样，按照</w:t>
      </w:r>
      <w:r>
        <w:rPr>
          <w:rFonts w:hAnsi="宋体"/>
          <w:highlight w:val="none"/>
        </w:rPr>
        <w:t>GB/T 17473.2的规定进行</w:t>
      </w:r>
      <w:r>
        <w:rPr>
          <w:rFonts w:hint="eastAsia" w:hAnsi="宋体"/>
          <w:highlight w:val="none"/>
        </w:rPr>
        <w:t>测试。</w:t>
      </w:r>
    </w:p>
    <w:p>
      <w:pPr>
        <w:pStyle w:val="233"/>
        <w:rPr>
          <w:rFonts w:hAnsi="宋体"/>
          <w:highlight w:val="none"/>
        </w:rPr>
      </w:pPr>
      <w:r>
        <w:rPr>
          <w:rFonts w:hint="eastAsia" w:hAnsi="宋体"/>
          <w:highlight w:val="none"/>
        </w:rPr>
        <w:t>记录刻槽上从顶部到底部出现第四个连续断点地方的读数，该读数为“细度(4</w:t>
      </w:r>
      <w:r>
        <w:rPr>
          <w:rFonts w:hint="eastAsia" w:hAnsi="宋体"/>
          <w:highlight w:val="none"/>
          <w:vertAlign w:val="superscript"/>
        </w:rPr>
        <w:t>th</w:t>
      </w:r>
      <w:r>
        <w:rPr>
          <w:rFonts w:hint="eastAsia" w:hAnsi="宋体"/>
          <w:highlight w:val="none"/>
        </w:rPr>
        <w:t>)”。</w:t>
      </w:r>
    </w:p>
    <w:p>
      <w:pPr>
        <w:pStyle w:val="107"/>
        <w:spacing w:before="120" w:after="120"/>
        <w:rPr>
          <w:highlight w:val="none"/>
        </w:rPr>
      </w:pPr>
      <w:bookmarkStart w:id="105" w:name="_Toc137568417"/>
      <w:bookmarkStart w:id="106" w:name="_Toc461376765"/>
      <w:bookmarkStart w:id="107" w:name="_Toc9910"/>
      <w:r>
        <w:rPr>
          <w:rFonts w:hint="eastAsia"/>
          <w:highlight w:val="none"/>
        </w:rPr>
        <w:t>粘</w:t>
      </w:r>
      <w:r>
        <w:rPr>
          <w:highlight w:val="none"/>
        </w:rPr>
        <w:t>度</w:t>
      </w:r>
      <w:bookmarkEnd w:id="105"/>
      <w:bookmarkEnd w:id="106"/>
      <w:bookmarkEnd w:id="107"/>
    </w:p>
    <w:p>
      <w:pPr>
        <w:pStyle w:val="67"/>
        <w:spacing w:before="120" w:after="120"/>
        <w:rPr>
          <w:rFonts w:hAnsi="黑体" w:cs="黑体"/>
          <w:szCs w:val="22"/>
          <w:highlight w:val="none"/>
        </w:rPr>
      </w:pPr>
      <w:bookmarkStart w:id="108" w:name="_Toc137568418"/>
      <w:bookmarkStart w:id="109" w:name="_Toc26993"/>
      <w:r>
        <w:rPr>
          <w:rFonts w:hint="eastAsia" w:hAnsi="黑体" w:cs="黑体"/>
          <w:szCs w:val="22"/>
          <w:highlight w:val="none"/>
        </w:rPr>
        <w:t>旋转粘度计法（仲裁法）</w:t>
      </w:r>
      <w:bookmarkEnd w:id="108"/>
      <w:bookmarkEnd w:id="109"/>
    </w:p>
    <w:p>
      <w:pPr>
        <w:pStyle w:val="233"/>
        <w:rPr>
          <w:highlight w:val="none"/>
        </w:rPr>
      </w:pPr>
      <w:r>
        <w:rPr>
          <w:rFonts w:hint="eastAsia" w:hAnsi="宋体"/>
          <w:highlight w:val="none"/>
        </w:rPr>
        <w:t>按照GB/T 17473.5的规定测试，设置测试温度为（25±0.5）℃，调节转速10r/min，扭矩百分比在10%～90%之间</w:t>
      </w:r>
      <w:r>
        <w:rPr>
          <w:rFonts w:hint="eastAsia" w:hAnsi="宋体"/>
          <w:highlight w:val="none"/>
          <w:lang w:eastAsia="zh-CN"/>
        </w:rPr>
        <w:t>，</w:t>
      </w:r>
      <w:r>
        <w:rPr>
          <w:rFonts w:hint="eastAsia" w:hAnsi="宋体"/>
          <w:highlight w:val="none"/>
          <w:lang w:val="en-US" w:eastAsia="zh-CN"/>
        </w:rPr>
        <w:t>其他条件由供需双方决定。</w:t>
      </w:r>
      <w:r>
        <w:rPr>
          <w:rFonts w:hint="eastAsia" w:hAnsi="宋体"/>
          <w:highlight w:val="none"/>
        </w:rPr>
        <w:t>待读数稳定后读取粘度数据。取两份平行试样，结果取平均值。两个平行试样测试值之差应不大于平均值的3%。</w:t>
      </w:r>
    </w:p>
    <w:p>
      <w:pPr>
        <w:pStyle w:val="67"/>
        <w:spacing w:before="120" w:after="120"/>
        <w:rPr>
          <w:rFonts w:hAnsi="黑体" w:cs="黑体"/>
          <w:szCs w:val="22"/>
          <w:highlight w:val="none"/>
        </w:rPr>
      </w:pPr>
      <w:bookmarkStart w:id="110" w:name="_Toc32396"/>
      <w:bookmarkStart w:id="111" w:name="_Toc137568419"/>
      <w:r>
        <w:rPr>
          <w:rFonts w:hint="eastAsia" w:hAnsi="黑体" w:cs="黑体"/>
          <w:szCs w:val="22"/>
          <w:highlight w:val="none"/>
        </w:rPr>
        <w:t>锥/板粘度计法</w:t>
      </w:r>
      <w:bookmarkEnd w:id="110"/>
      <w:bookmarkEnd w:id="111"/>
    </w:p>
    <w:p>
      <w:pPr>
        <w:widowControl w:val="0"/>
        <w:tabs>
          <w:tab w:val="left" w:pos="640"/>
        </w:tabs>
        <w:autoSpaceDE w:val="0"/>
        <w:autoSpaceDN w:val="0"/>
        <w:adjustRightInd w:val="0"/>
        <w:spacing w:before="9"/>
        <w:ind w:right="-166" w:firstLine="420" w:firstLineChars="200"/>
        <w:jc w:val="left"/>
        <w:rPr>
          <w:rFonts w:ascii="宋体" w:hAnsi="宋体" w:eastAsia="宋体" w:cs="Times New Roman"/>
          <w:kern w:val="2"/>
          <w:sz w:val="21"/>
          <w:szCs w:val="24"/>
          <w:highlight w:val="none"/>
          <w:lang w:val="en-US" w:eastAsia="zh-CN" w:bidi="ar-SA"/>
        </w:rPr>
      </w:pPr>
      <w:r>
        <w:rPr>
          <w:rFonts w:hint="eastAsia" w:ascii="宋体" w:hAnsi="宋体" w:eastAsia="宋体" w:cs="Times New Roman"/>
          <w:kern w:val="2"/>
          <w:sz w:val="21"/>
          <w:szCs w:val="24"/>
          <w:highlight w:val="none"/>
          <w:lang w:val="en-US" w:eastAsia="zh-CN" w:bidi="ar-SA"/>
        </w:rPr>
        <w:t>按照GB/T 17473.5的规定测试。设置测试温度为（25±0.5）℃，调节转速或剪切率，使扭矩百分比控制在10%～90%之间，</w:t>
      </w:r>
      <w:r>
        <w:rPr>
          <w:rFonts w:hint="eastAsia" w:hAnsi="宋体"/>
          <w:highlight w:val="none"/>
          <w:lang w:val="en-US" w:eastAsia="zh-CN"/>
        </w:rPr>
        <w:t>其他条件由供需双方决定。</w:t>
      </w:r>
      <w:r>
        <w:rPr>
          <w:rFonts w:hint="eastAsia" w:ascii="宋体" w:hAnsi="宋体" w:eastAsia="宋体" w:cs="Times New Roman"/>
          <w:kern w:val="2"/>
          <w:sz w:val="21"/>
          <w:szCs w:val="24"/>
          <w:highlight w:val="none"/>
          <w:lang w:val="en-US" w:eastAsia="zh-CN" w:bidi="ar-SA"/>
        </w:rPr>
        <w:t>待样品温度稳定至测试温度后开始测试，读取30s或60s或其它特定时间后的粘度数据。取两份平行试样，结果取平均值。当粘度≥14 Pa·s时，两个平行试样测试值之差应不大于平均值的3%；当粘度＜14 Pa·s时，两个平行试样测试值之差应不大于平均值的5%。</w:t>
      </w:r>
    </w:p>
    <w:p>
      <w:pPr>
        <w:pStyle w:val="107"/>
        <w:spacing w:before="120" w:after="120"/>
        <w:rPr>
          <w:highlight w:val="none"/>
        </w:rPr>
      </w:pPr>
      <w:bookmarkStart w:id="112" w:name="_Toc31789"/>
      <w:bookmarkStart w:id="113" w:name="_Toc137568420"/>
      <w:r>
        <w:rPr>
          <w:rFonts w:hint="eastAsia"/>
          <w:highlight w:val="none"/>
        </w:rPr>
        <w:t>体积电阻率</w:t>
      </w:r>
      <w:bookmarkEnd w:id="112"/>
      <w:bookmarkEnd w:id="113"/>
    </w:p>
    <w:p>
      <w:pPr>
        <w:widowControl w:val="0"/>
        <w:tabs>
          <w:tab w:val="left" w:pos="640"/>
        </w:tabs>
        <w:autoSpaceDE w:val="0"/>
        <w:autoSpaceDN w:val="0"/>
        <w:adjustRightInd w:val="0"/>
        <w:spacing w:before="9"/>
        <w:ind w:right="-166" w:firstLine="420" w:firstLineChars="200"/>
        <w:jc w:val="left"/>
        <w:rPr>
          <w:rFonts w:ascii="宋体" w:hAnsi="宋体" w:eastAsia="宋体" w:cs="Times New Roman"/>
          <w:kern w:val="2"/>
          <w:sz w:val="21"/>
          <w:szCs w:val="24"/>
          <w:highlight w:val="none"/>
          <w:lang w:val="en-US" w:eastAsia="zh-CN" w:bidi="ar-SA"/>
        </w:rPr>
      </w:pPr>
      <w:r>
        <w:rPr>
          <w:rFonts w:hint="eastAsia" w:ascii="宋体" w:hAnsi="宋体" w:eastAsia="宋体" w:cs="Times New Roman"/>
          <w:kern w:val="2"/>
          <w:sz w:val="21"/>
          <w:szCs w:val="24"/>
          <w:highlight w:val="none"/>
          <w:lang w:val="en-US" w:eastAsia="zh-CN" w:bidi="ar-SA"/>
        </w:rPr>
        <w:t>按照本文件附录A的规定进行测定。</w:t>
      </w:r>
    </w:p>
    <w:p>
      <w:pPr>
        <w:pStyle w:val="107"/>
        <w:spacing w:before="120" w:after="120"/>
        <w:rPr>
          <w:highlight w:val="none"/>
        </w:rPr>
      </w:pPr>
      <w:bookmarkStart w:id="114" w:name="_Toc11108"/>
      <w:bookmarkStart w:id="115" w:name="_Toc137568421"/>
      <w:r>
        <w:rPr>
          <w:rFonts w:hint="eastAsia"/>
          <w:highlight w:val="none"/>
        </w:rPr>
        <w:t>接触电阻率</w:t>
      </w:r>
      <w:bookmarkEnd w:id="114"/>
      <w:bookmarkEnd w:id="115"/>
    </w:p>
    <w:p>
      <w:pPr>
        <w:widowControl w:val="0"/>
        <w:tabs>
          <w:tab w:val="left" w:pos="640"/>
        </w:tabs>
        <w:autoSpaceDE w:val="0"/>
        <w:autoSpaceDN w:val="0"/>
        <w:adjustRightInd w:val="0"/>
        <w:spacing w:before="9"/>
        <w:ind w:right="-166" w:firstLine="420" w:firstLineChars="200"/>
        <w:jc w:val="left"/>
        <w:rPr>
          <w:rFonts w:ascii="宋体" w:hAnsi="宋体" w:eastAsia="宋体" w:cs="Times New Roman"/>
          <w:kern w:val="2"/>
          <w:sz w:val="21"/>
          <w:szCs w:val="24"/>
          <w:highlight w:val="none"/>
          <w:lang w:val="en-US" w:eastAsia="zh-CN" w:bidi="ar-SA"/>
        </w:rPr>
      </w:pPr>
      <w:r>
        <w:rPr>
          <w:rFonts w:hint="eastAsia" w:ascii="宋体" w:hAnsi="宋体" w:eastAsia="宋体" w:cs="Times New Roman"/>
          <w:kern w:val="2"/>
          <w:sz w:val="21"/>
          <w:szCs w:val="24"/>
          <w:highlight w:val="none"/>
          <w:lang w:val="en-US" w:eastAsia="zh-CN" w:bidi="ar-SA"/>
        </w:rPr>
        <w:t>按照本文件附录</w:t>
      </w:r>
      <w:r>
        <w:rPr>
          <w:rFonts w:ascii="宋体" w:hAnsi="宋体" w:eastAsia="宋体" w:cs="Times New Roman"/>
          <w:kern w:val="2"/>
          <w:sz w:val="21"/>
          <w:szCs w:val="24"/>
          <w:highlight w:val="none"/>
          <w:lang w:val="en-US" w:eastAsia="zh-CN" w:bidi="ar-SA"/>
        </w:rPr>
        <w:t>B</w:t>
      </w:r>
      <w:r>
        <w:rPr>
          <w:rFonts w:hint="eastAsia" w:ascii="宋体" w:hAnsi="宋体" w:eastAsia="宋体" w:cs="Times New Roman"/>
          <w:kern w:val="2"/>
          <w:sz w:val="21"/>
          <w:szCs w:val="24"/>
          <w:highlight w:val="none"/>
          <w:lang w:val="en-US" w:eastAsia="zh-CN" w:bidi="ar-SA"/>
        </w:rPr>
        <w:t>的规定进行测定。</w:t>
      </w:r>
    </w:p>
    <w:p>
      <w:pPr>
        <w:pStyle w:val="107"/>
        <w:spacing w:before="120" w:after="120"/>
        <w:rPr>
          <w:highlight w:val="none"/>
        </w:rPr>
      </w:pPr>
      <w:bookmarkStart w:id="116" w:name="_Toc29146"/>
      <w:bookmarkStart w:id="117" w:name="_Toc137568422"/>
      <w:r>
        <w:rPr>
          <w:rFonts w:hint="eastAsia"/>
          <w:highlight w:val="none"/>
        </w:rPr>
        <w:t>可焊性</w:t>
      </w:r>
      <w:bookmarkEnd w:id="116"/>
      <w:bookmarkEnd w:id="117"/>
    </w:p>
    <w:p>
      <w:pPr>
        <w:widowControl w:val="0"/>
        <w:tabs>
          <w:tab w:val="left" w:pos="640"/>
        </w:tabs>
        <w:autoSpaceDE w:val="0"/>
        <w:autoSpaceDN w:val="0"/>
        <w:adjustRightInd w:val="0"/>
        <w:spacing w:before="9"/>
        <w:ind w:right="-166" w:firstLine="420" w:firstLineChars="200"/>
        <w:jc w:val="left"/>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1"/>
          <w:szCs w:val="24"/>
          <w:highlight w:val="none"/>
          <w:lang w:val="en-US" w:eastAsia="zh-CN" w:bidi="ar-SA"/>
        </w:rPr>
        <w:t>按照GB/T 17473.7的规定进行测定</w:t>
      </w:r>
    </w:p>
    <w:p>
      <w:pPr>
        <w:pStyle w:val="107"/>
        <w:spacing w:before="120" w:after="120"/>
        <w:rPr>
          <w:highlight w:val="none"/>
        </w:rPr>
      </w:pPr>
      <w:bookmarkStart w:id="118" w:name="_Toc461376772"/>
      <w:bookmarkStart w:id="119" w:name="_Toc14676"/>
      <w:bookmarkStart w:id="120" w:name="_Toc137568423"/>
      <w:bookmarkStart w:id="121" w:name="_Toc461376771"/>
      <w:r>
        <w:rPr>
          <w:rFonts w:hint="eastAsia"/>
          <w:highlight w:val="none"/>
        </w:rPr>
        <w:t>附着力</w:t>
      </w:r>
      <w:bookmarkEnd w:id="118"/>
      <w:bookmarkEnd w:id="119"/>
      <w:bookmarkEnd w:id="120"/>
    </w:p>
    <w:p>
      <w:pPr>
        <w:pStyle w:val="167"/>
        <w:bidi w:val="0"/>
        <w:rPr>
          <w:rFonts w:hint="eastAsia" w:ascii="宋体" w:hAnsi="宋体" w:eastAsia="宋体" w:cs="宋体"/>
          <w:highlight w:val="none"/>
        </w:rPr>
      </w:pPr>
      <w:bookmarkStart w:id="122" w:name="_Toc461376773"/>
      <w:r>
        <w:rPr>
          <w:rFonts w:hint="eastAsia" w:ascii="宋体" w:hAnsi="宋体" w:eastAsia="宋体" w:cs="宋体"/>
          <w:highlight w:val="none"/>
        </w:rPr>
        <w:t>主栅附着力的测定按照附录C的规定进行。</w:t>
      </w:r>
      <w:bookmarkEnd w:id="122"/>
    </w:p>
    <w:p>
      <w:pPr>
        <w:pStyle w:val="167"/>
        <w:bidi w:val="0"/>
        <w:rPr>
          <w:rFonts w:hint="eastAsia" w:ascii="宋体" w:hAnsi="宋体" w:eastAsia="宋体" w:cs="宋体"/>
          <w:highlight w:val="none"/>
        </w:rPr>
      </w:pPr>
      <w:r>
        <w:rPr>
          <w:rFonts w:hint="eastAsia" w:ascii="宋体" w:hAnsi="宋体" w:eastAsia="宋体" w:cs="宋体"/>
          <w:highlight w:val="none"/>
        </w:rPr>
        <w:t>副栅附着力的测定按照附录D的规定进行。</w:t>
      </w:r>
    </w:p>
    <w:bookmarkEnd w:id="121"/>
    <w:p>
      <w:pPr>
        <w:pStyle w:val="107"/>
        <w:spacing w:before="120" w:after="120"/>
        <w:rPr>
          <w:highlight w:val="none"/>
        </w:rPr>
      </w:pPr>
      <w:bookmarkStart w:id="123" w:name="_Toc137568424"/>
      <w:bookmarkStart w:id="124" w:name="_Toc3266"/>
      <w:r>
        <w:rPr>
          <w:rFonts w:hint="eastAsia"/>
          <w:highlight w:val="none"/>
          <w:lang w:val="en-US" w:eastAsia="zh-CN"/>
        </w:rPr>
        <w:t>可靠性</w:t>
      </w:r>
      <w:r>
        <w:rPr>
          <w:rFonts w:hint="eastAsia"/>
          <w:highlight w:val="none"/>
        </w:rPr>
        <w:t>试验</w:t>
      </w:r>
      <w:bookmarkEnd w:id="123"/>
      <w:bookmarkEnd w:id="124"/>
    </w:p>
    <w:p>
      <w:pPr>
        <w:pStyle w:val="67"/>
        <w:spacing w:before="120" w:after="120"/>
        <w:rPr>
          <w:rFonts w:hAnsi="黑体" w:cs="黑体"/>
          <w:highlight w:val="none"/>
        </w:rPr>
      </w:pPr>
      <w:bookmarkStart w:id="125" w:name="_Toc17515"/>
      <w:bookmarkStart w:id="126" w:name="_Toc137568425"/>
      <w:r>
        <w:rPr>
          <w:rFonts w:hint="eastAsia" w:hAnsi="黑体" w:cs="黑体"/>
          <w:highlight w:val="none"/>
        </w:rPr>
        <w:t>仪器设备</w:t>
      </w:r>
      <w:bookmarkEnd w:id="125"/>
      <w:bookmarkEnd w:id="126"/>
    </w:p>
    <w:p>
      <w:pPr>
        <w:pStyle w:val="233"/>
        <w:rPr>
          <w:rFonts w:cs="Calibri"/>
          <w:szCs w:val="21"/>
          <w:highlight w:val="none"/>
        </w:rPr>
      </w:pPr>
      <w:r>
        <w:rPr>
          <w:rFonts w:hint="eastAsia" w:cs="Calibri"/>
          <w:szCs w:val="21"/>
          <w:highlight w:val="none"/>
        </w:rPr>
        <w:t>鼓风烘箱：稳定使用温度可以达到150 ℃，控温精度±1 ℃，底板加热（使用电热管加热），温度传感器位于烘箱上方，隔板采用镂空形式。</w:t>
      </w:r>
    </w:p>
    <w:p>
      <w:pPr>
        <w:pStyle w:val="67"/>
        <w:spacing w:before="120" w:after="120"/>
        <w:rPr>
          <w:rFonts w:hAnsi="黑体" w:cs="黑体"/>
          <w:highlight w:val="none"/>
        </w:rPr>
      </w:pPr>
      <w:bookmarkStart w:id="127" w:name="_Toc4960"/>
      <w:bookmarkStart w:id="128" w:name="_Toc137568426"/>
      <w:r>
        <w:rPr>
          <w:rFonts w:hint="eastAsia" w:hAnsi="黑体" w:cs="黑体"/>
          <w:highlight w:val="none"/>
        </w:rPr>
        <w:t>试样</w:t>
      </w:r>
      <w:r>
        <w:rPr>
          <w:rFonts w:hint="eastAsia"/>
          <w:highlight w:val="none"/>
        </w:rPr>
        <w:t>制备</w:t>
      </w:r>
      <w:bookmarkEnd w:id="127"/>
      <w:bookmarkEnd w:id="128"/>
    </w:p>
    <w:p>
      <w:pPr>
        <w:pStyle w:val="233"/>
        <w:rPr>
          <w:highlight w:val="none"/>
        </w:rPr>
      </w:pPr>
      <w:r>
        <w:rPr>
          <w:rFonts w:hint="eastAsia"/>
          <w:highlight w:val="none"/>
        </w:rPr>
        <w:t>按照附录A的规定制备试样。</w:t>
      </w:r>
    </w:p>
    <w:p>
      <w:pPr>
        <w:pStyle w:val="67"/>
        <w:spacing w:before="120" w:after="120"/>
        <w:rPr>
          <w:rFonts w:hAnsi="黑体" w:cs="黑体"/>
          <w:highlight w:val="none"/>
        </w:rPr>
      </w:pPr>
      <w:r>
        <w:rPr>
          <w:rFonts w:hint="eastAsia" w:hAnsi="黑体" w:cs="黑体"/>
          <w:highlight w:val="none"/>
          <w:lang w:val="en-US" w:eastAsia="zh-CN"/>
        </w:rPr>
        <w:t>老化</w:t>
      </w:r>
    </w:p>
    <w:p>
      <w:pPr>
        <w:pStyle w:val="233"/>
        <w:rPr>
          <w:highlight w:val="none"/>
        </w:rPr>
      </w:pPr>
      <w:r>
        <w:rPr>
          <w:rFonts w:hint="eastAsia" w:cs="Calibri"/>
          <w:szCs w:val="21"/>
          <w:highlight w:val="none"/>
        </w:rPr>
        <w:t>打开烘箱电源和鼓风，设置保温温度</w:t>
      </w:r>
      <w:r>
        <w:rPr>
          <w:rFonts w:hint="eastAsia" w:hAnsi="宋体" w:cs="宋体"/>
          <w:szCs w:val="21"/>
          <w:highlight w:val="none"/>
        </w:rPr>
        <w:t>150 ℃。待烘箱温度稳定后，</w:t>
      </w:r>
      <w:r>
        <w:rPr>
          <w:rFonts w:hint="eastAsia" w:cs="Calibri"/>
          <w:szCs w:val="21"/>
          <w:highlight w:val="none"/>
        </w:rPr>
        <w:t>将试样放入烘箱，放置位置距离加热板距离≥20 cm，距离温度传感器距离≤15 cm，</w:t>
      </w:r>
      <w:r>
        <w:rPr>
          <w:rFonts w:hint="eastAsia" w:hAnsi="宋体" w:cs="宋体"/>
          <w:highlight w:val="none"/>
        </w:rPr>
        <w:t>保温1 h后自然冷却至室温。</w:t>
      </w:r>
    </w:p>
    <w:p>
      <w:pPr>
        <w:pStyle w:val="67"/>
        <w:spacing w:before="120" w:after="120"/>
        <w:rPr>
          <w:rFonts w:hAnsi="黑体" w:cs="黑体"/>
          <w:highlight w:val="none"/>
        </w:rPr>
      </w:pPr>
      <w:bookmarkStart w:id="129" w:name="_Toc9437"/>
      <w:bookmarkStart w:id="130" w:name="_Toc137568428"/>
      <w:r>
        <w:rPr>
          <w:rFonts w:hint="eastAsia"/>
          <w:highlight w:val="none"/>
          <w:lang w:val="en-US" w:eastAsia="zh-CN"/>
        </w:rPr>
        <w:t>可靠性</w:t>
      </w:r>
      <w:r>
        <w:rPr>
          <w:rFonts w:hint="eastAsia"/>
          <w:highlight w:val="none"/>
        </w:rPr>
        <w:t>测试</w:t>
      </w:r>
      <w:bookmarkEnd w:id="129"/>
      <w:bookmarkEnd w:id="130"/>
    </w:p>
    <w:p>
      <w:pPr>
        <w:pStyle w:val="240"/>
        <w:numPr>
          <w:ilvl w:val="0"/>
          <w:numId w:val="0"/>
        </w:numPr>
        <w:spacing w:beforeLines="0" w:afterLines="0"/>
        <w:ind w:firstLine="420" w:firstLineChars="0"/>
        <w:outlineLvl w:val="9"/>
        <w:rPr>
          <w:rFonts w:ascii="宋体" w:hAnsi="宋体" w:eastAsia="宋体" w:cs="宋体"/>
          <w:highlight w:val="none"/>
        </w:rPr>
      </w:pPr>
      <w:bookmarkStart w:id="131" w:name="_Toc21094"/>
      <w:r>
        <w:rPr>
          <w:rFonts w:hint="eastAsia" w:ascii="宋体" w:hAnsi="宋体" w:eastAsia="宋体" w:cs="宋体"/>
          <w:highlight w:val="none"/>
        </w:rPr>
        <w:t>附着力按照附录A的规定进行：</w:t>
      </w:r>
    </w:p>
    <w:p>
      <w:pPr>
        <w:pStyle w:val="176"/>
        <w:numPr>
          <w:ilvl w:val="0"/>
          <w:numId w:val="33"/>
        </w:numPr>
        <w:rPr>
          <w:rFonts w:hint="eastAsia"/>
          <w:highlight w:val="none"/>
        </w:rPr>
      </w:pPr>
      <w:r>
        <w:rPr>
          <w:rFonts w:hint="eastAsia"/>
          <w:highlight w:val="none"/>
        </w:rPr>
        <w:t>测试样品老化测试前的附着力；</w:t>
      </w:r>
    </w:p>
    <w:p>
      <w:pPr>
        <w:pStyle w:val="176"/>
        <w:numPr>
          <w:ilvl w:val="0"/>
          <w:numId w:val="33"/>
        </w:numPr>
        <w:rPr>
          <w:rFonts w:hint="eastAsia"/>
          <w:highlight w:val="none"/>
        </w:rPr>
      </w:pPr>
      <w:r>
        <w:rPr>
          <w:rFonts w:hint="eastAsia"/>
          <w:highlight w:val="none"/>
        </w:rPr>
        <w:t>试样样品老化后的附着力；</w:t>
      </w:r>
    </w:p>
    <w:p>
      <w:pPr>
        <w:pStyle w:val="176"/>
        <w:numPr>
          <w:ilvl w:val="0"/>
          <w:numId w:val="33"/>
        </w:numPr>
        <w:rPr>
          <w:rFonts w:hint="eastAsia"/>
          <w:highlight w:val="none"/>
        </w:rPr>
      </w:pPr>
      <w:r>
        <w:rPr>
          <w:rFonts w:hint="eastAsia"/>
          <w:highlight w:val="none"/>
        </w:rPr>
        <w:t>对比老化测试前后附着力的比值或读取测试后的绝对值。</w:t>
      </w:r>
      <w:bookmarkEnd w:id="131"/>
    </w:p>
    <w:bookmarkEnd w:id="104"/>
    <w:p>
      <w:pPr>
        <w:pStyle w:val="106"/>
        <w:spacing w:before="240" w:after="240"/>
        <w:rPr>
          <w:rFonts w:hint="eastAsia"/>
          <w:highlight w:val="none"/>
        </w:rPr>
      </w:pPr>
      <w:bookmarkStart w:id="132" w:name="_Toc137568429"/>
      <w:bookmarkStart w:id="133" w:name="_Toc461376776"/>
      <w:bookmarkStart w:id="134" w:name="_Toc26003"/>
      <w:r>
        <w:rPr>
          <w:rFonts w:hint="eastAsia"/>
          <w:highlight w:val="none"/>
        </w:rPr>
        <w:t>检验规则</w:t>
      </w:r>
      <w:bookmarkEnd w:id="132"/>
      <w:bookmarkEnd w:id="133"/>
      <w:bookmarkEnd w:id="134"/>
    </w:p>
    <w:p>
      <w:pPr>
        <w:pStyle w:val="107"/>
        <w:spacing w:before="120" w:after="120"/>
        <w:rPr>
          <w:highlight w:val="none"/>
        </w:rPr>
      </w:pPr>
      <w:bookmarkStart w:id="135" w:name="_Toc12226"/>
      <w:bookmarkStart w:id="136" w:name="_Toc137568430"/>
      <w:r>
        <w:rPr>
          <w:rFonts w:hint="eastAsia"/>
          <w:highlight w:val="none"/>
        </w:rPr>
        <w:t>检验分类</w:t>
      </w:r>
      <w:bookmarkEnd w:id="135"/>
      <w:bookmarkEnd w:id="136"/>
    </w:p>
    <w:p>
      <w:pPr>
        <w:pStyle w:val="240"/>
        <w:numPr>
          <w:ilvl w:val="0"/>
          <w:numId w:val="0"/>
        </w:numPr>
        <w:spacing w:beforeLines="0" w:afterLines="0"/>
        <w:ind w:firstLine="420" w:firstLineChars="200"/>
        <w:outlineLvl w:val="9"/>
        <w:rPr>
          <w:rFonts w:ascii="宋体" w:hAnsi="宋体" w:eastAsia="宋体" w:cs="宋体"/>
          <w:highlight w:val="none"/>
        </w:rPr>
      </w:pPr>
      <w:bookmarkStart w:id="137" w:name="_Toc25894"/>
      <w:r>
        <w:rPr>
          <w:rFonts w:hint="eastAsia" w:ascii="宋体" w:hAnsi="宋体" w:eastAsia="宋体" w:cs="宋体"/>
          <w:highlight w:val="none"/>
        </w:rPr>
        <w:t>固化型银浆的检验分为型式检验和出厂检验。</w:t>
      </w:r>
      <w:bookmarkEnd w:id="137"/>
    </w:p>
    <w:p>
      <w:pPr>
        <w:pStyle w:val="107"/>
        <w:spacing w:before="120" w:after="120"/>
        <w:rPr>
          <w:highlight w:val="none"/>
        </w:rPr>
      </w:pPr>
      <w:bookmarkStart w:id="138" w:name="_Toc10629"/>
      <w:bookmarkStart w:id="139" w:name="_Toc137568431"/>
      <w:bookmarkStart w:id="140" w:name="_Toc461376780"/>
      <w:r>
        <w:rPr>
          <w:rFonts w:hint="eastAsia"/>
          <w:highlight w:val="none"/>
        </w:rPr>
        <w:t>型式检验</w:t>
      </w:r>
      <w:bookmarkEnd w:id="138"/>
      <w:bookmarkEnd w:id="139"/>
    </w:p>
    <w:p>
      <w:pPr>
        <w:pStyle w:val="67"/>
        <w:spacing w:before="120" w:after="120"/>
        <w:rPr>
          <w:highlight w:val="none"/>
        </w:rPr>
      </w:pPr>
      <w:bookmarkStart w:id="141" w:name="_Toc137568432"/>
      <w:bookmarkStart w:id="142" w:name="_Toc14984"/>
      <w:r>
        <w:rPr>
          <w:rFonts w:hint="eastAsia"/>
          <w:highlight w:val="none"/>
        </w:rPr>
        <w:t>通则</w:t>
      </w:r>
      <w:bookmarkEnd w:id="141"/>
      <w:bookmarkEnd w:id="142"/>
    </w:p>
    <w:p>
      <w:pPr>
        <w:pStyle w:val="240"/>
        <w:numPr>
          <w:ilvl w:val="0"/>
          <w:numId w:val="0"/>
        </w:numPr>
        <w:spacing w:beforeLines="0" w:afterLines="0"/>
        <w:ind w:firstLine="420" w:firstLineChars="200"/>
        <w:outlineLvl w:val="9"/>
        <w:rPr>
          <w:rFonts w:ascii="宋体" w:hAnsi="宋体" w:eastAsia="宋体"/>
          <w:highlight w:val="none"/>
        </w:rPr>
      </w:pPr>
      <w:r>
        <w:rPr>
          <w:rFonts w:hint="eastAsia" w:ascii="宋体" w:hAnsi="宋体" w:eastAsia="宋体"/>
          <w:highlight w:val="none"/>
        </w:rPr>
        <w:t>在有下列情况（包含但不限于）之一时，应进行型式检验:</w:t>
      </w:r>
    </w:p>
    <w:p>
      <w:pPr>
        <w:numPr>
          <w:ilvl w:val="0"/>
          <w:numId w:val="34"/>
        </w:numPr>
        <w:ind w:left="845" w:hanging="419"/>
        <w:jc w:val="both"/>
        <w:rPr>
          <w:rFonts w:ascii="宋体" w:hAnsi="Calibri" w:eastAsia="宋体" w:cs="Times New Roman"/>
          <w:sz w:val="21"/>
          <w:highlight w:val="none"/>
          <w:lang w:val="en-US" w:eastAsia="zh-CN" w:bidi="ar-SA"/>
        </w:rPr>
      </w:pPr>
      <w:r>
        <w:rPr>
          <w:rFonts w:hint="eastAsia" w:ascii="宋体" w:hAnsi="Calibri" w:eastAsia="宋体" w:cs="Times New Roman"/>
          <w:sz w:val="21"/>
          <w:highlight w:val="none"/>
          <w:lang w:val="en-US" w:eastAsia="zh-CN" w:bidi="ar-SA"/>
        </w:rPr>
        <w:t>新产品型式时；</w:t>
      </w:r>
    </w:p>
    <w:p>
      <w:pPr>
        <w:numPr>
          <w:ilvl w:val="0"/>
          <w:numId w:val="34"/>
        </w:numPr>
        <w:ind w:left="845" w:hanging="419"/>
        <w:jc w:val="both"/>
        <w:rPr>
          <w:rFonts w:ascii="宋体" w:hAnsi="Calibri" w:eastAsia="宋体" w:cs="Times New Roman"/>
          <w:sz w:val="21"/>
          <w:highlight w:val="none"/>
          <w:lang w:val="en-US" w:eastAsia="zh-CN" w:bidi="ar-SA"/>
        </w:rPr>
      </w:pPr>
      <w:r>
        <w:rPr>
          <w:rFonts w:hint="eastAsia" w:ascii="宋体" w:hAnsi="Calibri" w:eastAsia="宋体" w:cs="Times New Roman"/>
          <w:sz w:val="21"/>
          <w:highlight w:val="none"/>
          <w:lang w:val="en-US" w:eastAsia="zh-CN" w:bidi="ar-SA"/>
        </w:rPr>
        <w:t>产品转厂生产时；</w:t>
      </w:r>
    </w:p>
    <w:p>
      <w:pPr>
        <w:numPr>
          <w:ilvl w:val="0"/>
          <w:numId w:val="34"/>
        </w:numPr>
        <w:ind w:left="845" w:hanging="419"/>
        <w:jc w:val="both"/>
        <w:rPr>
          <w:rFonts w:ascii="宋体" w:hAnsi="Calibri" w:eastAsia="宋体" w:cs="Times New Roman"/>
          <w:sz w:val="21"/>
          <w:highlight w:val="none"/>
          <w:lang w:val="en-US" w:eastAsia="zh-CN" w:bidi="ar-SA"/>
        </w:rPr>
      </w:pPr>
      <w:r>
        <w:rPr>
          <w:rFonts w:hint="eastAsia" w:ascii="宋体" w:hAnsi="Calibri" w:eastAsia="宋体" w:cs="Times New Roman"/>
          <w:sz w:val="21"/>
          <w:highlight w:val="none"/>
          <w:lang w:val="en-US" w:eastAsia="zh-CN" w:bidi="ar-SA"/>
        </w:rPr>
        <w:t>正式生产后，材料配方、生产工艺有较大改变，可能影响产品性能时；</w:t>
      </w:r>
    </w:p>
    <w:p>
      <w:pPr>
        <w:numPr>
          <w:ilvl w:val="0"/>
          <w:numId w:val="34"/>
        </w:numPr>
        <w:ind w:left="845" w:hanging="419"/>
        <w:jc w:val="both"/>
        <w:rPr>
          <w:rFonts w:ascii="宋体" w:hAnsi="Calibri" w:eastAsia="宋体" w:cs="Times New Roman"/>
          <w:sz w:val="21"/>
          <w:highlight w:val="none"/>
          <w:lang w:val="en-US" w:eastAsia="zh-CN" w:bidi="ar-SA"/>
        </w:rPr>
      </w:pPr>
      <w:r>
        <w:rPr>
          <w:rFonts w:hint="eastAsia" w:ascii="宋体" w:hAnsi="Calibri" w:eastAsia="宋体" w:cs="Times New Roman"/>
          <w:sz w:val="21"/>
          <w:highlight w:val="none"/>
          <w:lang w:val="en-US" w:eastAsia="zh-CN" w:bidi="ar-SA"/>
        </w:rPr>
        <w:t>停产时间超过六个月，恢复生产时；</w:t>
      </w:r>
    </w:p>
    <w:p>
      <w:pPr>
        <w:numPr>
          <w:ilvl w:val="0"/>
          <w:numId w:val="34"/>
        </w:numPr>
        <w:ind w:left="845" w:hanging="419"/>
        <w:jc w:val="both"/>
        <w:rPr>
          <w:rFonts w:ascii="宋体" w:hAnsi="Calibri" w:eastAsia="宋体" w:cs="Times New Roman"/>
          <w:sz w:val="21"/>
          <w:highlight w:val="none"/>
          <w:lang w:val="en-US" w:eastAsia="zh-CN" w:bidi="ar-SA"/>
        </w:rPr>
      </w:pPr>
      <w:r>
        <w:rPr>
          <w:rFonts w:hint="eastAsia" w:ascii="宋体" w:hAnsi="Calibri" w:eastAsia="宋体" w:cs="Times New Roman"/>
          <w:sz w:val="21"/>
          <w:highlight w:val="none"/>
          <w:lang w:val="en-US" w:eastAsia="zh-CN" w:bidi="ar-SA"/>
        </w:rPr>
        <w:t>出厂检验结果与上次型式检验结果有较大差异时；</w:t>
      </w:r>
    </w:p>
    <w:p>
      <w:pPr>
        <w:numPr>
          <w:ilvl w:val="0"/>
          <w:numId w:val="34"/>
        </w:numPr>
        <w:ind w:left="845" w:hanging="419"/>
        <w:jc w:val="both"/>
        <w:rPr>
          <w:rFonts w:ascii="宋体" w:hAnsi="Calibri" w:eastAsia="宋体" w:cs="Times New Roman"/>
          <w:sz w:val="21"/>
          <w:highlight w:val="none"/>
          <w:lang w:val="en-US" w:eastAsia="zh-CN" w:bidi="ar-SA"/>
        </w:rPr>
      </w:pPr>
      <w:r>
        <w:rPr>
          <w:rFonts w:hint="eastAsia" w:ascii="宋体" w:hAnsi="Calibri" w:eastAsia="宋体" w:cs="Times New Roman"/>
          <w:sz w:val="21"/>
          <w:highlight w:val="none"/>
          <w:lang w:val="en-US" w:eastAsia="zh-CN" w:bidi="ar-SA"/>
        </w:rPr>
        <w:t>质量技术监督机构或客户提出型式检验要求时。</w:t>
      </w:r>
    </w:p>
    <w:p>
      <w:pPr>
        <w:pStyle w:val="67"/>
        <w:spacing w:before="120" w:after="120"/>
        <w:rPr>
          <w:highlight w:val="none"/>
        </w:rPr>
      </w:pPr>
      <w:bookmarkStart w:id="143" w:name="_Toc17898"/>
      <w:bookmarkStart w:id="144" w:name="_Toc137568433"/>
      <w:r>
        <w:rPr>
          <w:rFonts w:hint="eastAsia"/>
          <w:highlight w:val="none"/>
        </w:rPr>
        <w:t>抽样</w:t>
      </w:r>
      <w:bookmarkEnd w:id="143"/>
      <w:bookmarkEnd w:id="144"/>
    </w:p>
    <w:p>
      <w:pPr>
        <w:pStyle w:val="233"/>
        <w:rPr>
          <w:highlight w:val="none"/>
        </w:rPr>
      </w:pPr>
      <w:r>
        <w:rPr>
          <w:rFonts w:hint="eastAsia"/>
          <w:highlight w:val="none"/>
        </w:rPr>
        <w:t>由同一次投料生产出的固化型银浆为一个检验批。每批产品在随机抽取1瓶，取适量银浆作为检验样品。</w:t>
      </w:r>
    </w:p>
    <w:p>
      <w:pPr>
        <w:pStyle w:val="67"/>
        <w:spacing w:before="120" w:after="120"/>
        <w:rPr>
          <w:highlight w:val="none"/>
        </w:rPr>
      </w:pPr>
      <w:bookmarkStart w:id="145" w:name="_Toc137568434"/>
      <w:bookmarkStart w:id="146" w:name="_Toc7716"/>
      <w:r>
        <w:rPr>
          <w:rFonts w:hint="eastAsia"/>
          <w:highlight w:val="none"/>
        </w:rPr>
        <w:t>检验项目</w:t>
      </w:r>
      <w:bookmarkEnd w:id="145"/>
      <w:bookmarkEnd w:id="146"/>
    </w:p>
    <w:p>
      <w:pPr>
        <w:pStyle w:val="233"/>
        <w:rPr>
          <w:rFonts w:hAnsi="宋体"/>
          <w:highlight w:val="none"/>
        </w:rPr>
      </w:pPr>
      <w:r>
        <w:rPr>
          <w:rFonts w:hint="eastAsia"/>
          <w:szCs w:val="21"/>
          <w:highlight w:val="none"/>
        </w:rPr>
        <w:t>型式检验项目</w:t>
      </w:r>
      <w:r>
        <w:rPr>
          <w:rFonts w:hint="eastAsia" w:hAnsi="宋体"/>
          <w:highlight w:val="none"/>
        </w:rPr>
        <w:t>应符合表3的要求。</w:t>
      </w:r>
    </w:p>
    <w:p>
      <w:pPr>
        <w:pStyle w:val="233"/>
        <w:spacing w:before="156" w:beforeLines="50" w:after="156" w:afterLines="50"/>
        <w:ind w:firstLine="0" w:firstLineChars="0"/>
        <w:jc w:val="center"/>
        <w:rPr>
          <w:rFonts w:ascii="黑体" w:hAnsi="黑体" w:eastAsia="黑体" w:cs="黑体"/>
          <w:highlight w:val="none"/>
        </w:rPr>
      </w:pPr>
      <w:r>
        <w:rPr>
          <w:rFonts w:hint="eastAsia" w:ascii="黑体" w:hAnsi="黑体" w:eastAsia="黑体" w:cs="黑体"/>
          <w:highlight w:val="none"/>
        </w:rPr>
        <w:t>表3 检验项目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18"/>
        <w:gridCol w:w="1650"/>
        <w:gridCol w:w="1675"/>
        <w:gridCol w:w="1710"/>
        <w:gridCol w:w="16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718" w:type="dxa"/>
            <w:tcBorders>
              <w:bottom w:val="single" w:color="auto" w:sz="8" w:space="0"/>
            </w:tcBorders>
          </w:tcPr>
          <w:p>
            <w:pPr>
              <w:pStyle w:val="233"/>
              <w:ind w:firstLine="0" w:firstLineChars="0"/>
              <w:jc w:val="center"/>
              <w:rPr>
                <w:rFonts w:hAnsi="宋体" w:cs="宋体"/>
                <w:sz w:val="18"/>
                <w:szCs w:val="18"/>
                <w:highlight w:val="none"/>
              </w:rPr>
            </w:pPr>
            <w:r>
              <w:rPr>
                <w:rFonts w:hint="eastAsia" w:hAnsi="宋体" w:cs="宋体"/>
                <w:sz w:val="18"/>
                <w:szCs w:val="18"/>
                <w:highlight w:val="none"/>
              </w:rPr>
              <w:t>检验项目</w:t>
            </w:r>
          </w:p>
        </w:tc>
        <w:tc>
          <w:tcPr>
            <w:tcW w:w="1650" w:type="dxa"/>
            <w:tcBorders>
              <w:bottom w:val="single" w:color="auto" w:sz="8" w:space="0"/>
            </w:tcBorders>
          </w:tcPr>
          <w:p>
            <w:pPr>
              <w:pStyle w:val="233"/>
              <w:ind w:firstLine="0" w:firstLineChars="0"/>
              <w:jc w:val="center"/>
              <w:rPr>
                <w:rFonts w:hAnsi="宋体" w:cs="宋体"/>
                <w:sz w:val="18"/>
                <w:szCs w:val="18"/>
                <w:highlight w:val="none"/>
              </w:rPr>
            </w:pPr>
            <w:r>
              <w:rPr>
                <w:rFonts w:hint="eastAsia" w:hAnsi="宋体" w:cs="宋体"/>
                <w:sz w:val="18"/>
                <w:szCs w:val="18"/>
                <w:highlight w:val="none"/>
              </w:rPr>
              <w:t>要求章条号</w:t>
            </w:r>
          </w:p>
        </w:tc>
        <w:tc>
          <w:tcPr>
            <w:tcW w:w="1675" w:type="dxa"/>
            <w:tcBorders>
              <w:bottom w:val="single" w:color="auto" w:sz="8" w:space="0"/>
            </w:tcBorders>
          </w:tcPr>
          <w:p>
            <w:pPr>
              <w:pStyle w:val="233"/>
              <w:ind w:firstLine="0" w:firstLineChars="0"/>
              <w:jc w:val="center"/>
              <w:rPr>
                <w:rFonts w:hAnsi="宋体" w:cs="宋体"/>
                <w:sz w:val="18"/>
                <w:szCs w:val="18"/>
                <w:highlight w:val="none"/>
              </w:rPr>
            </w:pPr>
            <w:r>
              <w:rPr>
                <w:rFonts w:hint="eastAsia" w:hAnsi="宋体" w:cs="宋体"/>
                <w:sz w:val="18"/>
                <w:szCs w:val="18"/>
                <w:highlight w:val="none"/>
              </w:rPr>
              <w:t>试验方法章条号</w:t>
            </w:r>
          </w:p>
        </w:tc>
        <w:tc>
          <w:tcPr>
            <w:tcW w:w="1710" w:type="dxa"/>
            <w:tcBorders>
              <w:bottom w:val="single" w:color="auto" w:sz="8" w:space="0"/>
            </w:tcBorders>
          </w:tcPr>
          <w:p>
            <w:pPr>
              <w:pStyle w:val="233"/>
              <w:ind w:firstLine="0" w:firstLineChars="0"/>
              <w:jc w:val="center"/>
              <w:rPr>
                <w:rFonts w:hAnsi="宋体" w:cs="宋体"/>
                <w:sz w:val="18"/>
                <w:szCs w:val="18"/>
                <w:highlight w:val="none"/>
              </w:rPr>
            </w:pPr>
            <w:r>
              <w:rPr>
                <w:rFonts w:hint="eastAsia" w:hAnsi="宋体" w:cs="宋体"/>
                <w:sz w:val="18"/>
                <w:szCs w:val="18"/>
                <w:highlight w:val="none"/>
              </w:rPr>
              <w:t>型式检验</w:t>
            </w:r>
          </w:p>
        </w:tc>
        <w:tc>
          <w:tcPr>
            <w:tcW w:w="1685" w:type="dxa"/>
            <w:tcBorders>
              <w:bottom w:val="single" w:color="auto" w:sz="8" w:space="0"/>
            </w:tcBorders>
          </w:tcPr>
          <w:p>
            <w:pPr>
              <w:pStyle w:val="233"/>
              <w:ind w:firstLine="0" w:firstLineChars="0"/>
              <w:jc w:val="center"/>
              <w:rPr>
                <w:rFonts w:hAnsi="宋体" w:cs="宋体"/>
                <w:sz w:val="18"/>
                <w:szCs w:val="18"/>
                <w:highlight w:val="none"/>
              </w:rPr>
            </w:pPr>
            <w:r>
              <w:rPr>
                <w:rFonts w:hint="eastAsia" w:hAnsi="宋体" w:cs="宋体"/>
                <w:sz w:val="18"/>
                <w:szCs w:val="18"/>
                <w:highlight w:val="none"/>
              </w:rPr>
              <w:t>出厂检验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718" w:type="dxa"/>
            <w:tcBorders>
              <w:top w:val="single" w:color="auto" w:sz="8" w:space="0"/>
            </w:tcBorders>
            <w:vAlign w:val="center"/>
          </w:tcPr>
          <w:p>
            <w:pPr>
              <w:pStyle w:val="233"/>
              <w:ind w:firstLine="0" w:firstLineChars="0"/>
              <w:jc w:val="center"/>
              <w:rPr>
                <w:rFonts w:hAnsi="宋体" w:cs="宋体"/>
                <w:sz w:val="18"/>
                <w:szCs w:val="18"/>
                <w:highlight w:val="none"/>
              </w:rPr>
            </w:pPr>
            <w:r>
              <w:rPr>
                <w:rFonts w:hint="eastAsia" w:hAnsi="宋体" w:cs="宋体"/>
                <w:sz w:val="18"/>
                <w:szCs w:val="18"/>
                <w:highlight w:val="none"/>
              </w:rPr>
              <w:t>银浆外观</w:t>
            </w:r>
          </w:p>
        </w:tc>
        <w:tc>
          <w:tcPr>
            <w:tcW w:w="1650" w:type="dxa"/>
            <w:tcBorders>
              <w:top w:val="single" w:color="auto" w:sz="8" w:space="0"/>
            </w:tcBorders>
          </w:tcPr>
          <w:p>
            <w:pPr>
              <w:adjustRightInd/>
              <w:spacing w:line="240" w:lineRule="auto"/>
              <w:jc w:val="center"/>
              <w:rPr>
                <w:rFonts w:hAnsi="宋体" w:cs="宋体"/>
                <w:sz w:val="18"/>
                <w:szCs w:val="18"/>
                <w:highlight w:val="none"/>
              </w:rPr>
            </w:pPr>
            <w:r>
              <w:rPr>
                <w:rFonts w:hint="eastAsia" w:ascii="宋体" w:hAnsi="宋体" w:cs="宋体"/>
                <w:sz w:val="18"/>
                <w:szCs w:val="18"/>
                <w:highlight w:val="none"/>
              </w:rPr>
              <w:t>4.1</w:t>
            </w:r>
          </w:p>
        </w:tc>
        <w:tc>
          <w:tcPr>
            <w:tcW w:w="1675" w:type="dxa"/>
            <w:tcBorders>
              <w:top w:val="single" w:color="auto" w:sz="8" w:space="0"/>
            </w:tcBorders>
          </w:tcPr>
          <w:p>
            <w:pPr>
              <w:pStyle w:val="233"/>
              <w:ind w:firstLine="0" w:firstLineChars="0"/>
              <w:jc w:val="center"/>
              <w:rPr>
                <w:rFonts w:hAnsi="宋体" w:cs="宋体"/>
                <w:sz w:val="18"/>
                <w:szCs w:val="18"/>
                <w:highlight w:val="none"/>
              </w:rPr>
            </w:pPr>
            <w:r>
              <w:rPr>
                <w:rFonts w:hint="eastAsia" w:hAnsi="宋体" w:cs="宋体"/>
                <w:sz w:val="18"/>
                <w:szCs w:val="18"/>
                <w:highlight w:val="none"/>
              </w:rPr>
              <w:t>5.2</w:t>
            </w:r>
          </w:p>
        </w:tc>
        <w:tc>
          <w:tcPr>
            <w:tcW w:w="1710" w:type="dxa"/>
            <w:tcBorders>
              <w:top w:val="single" w:color="auto" w:sz="8" w:space="0"/>
            </w:tcBorders>
          </w:tcPr>
          <w:p>
            <w:pPr>
              <w:pStyle w:val="233"/>
              <w:ind w:firstLine="0" w:firstLineChars="0"/>
              <w:jc w:val="center"/>
              <w:rPr>
                <w:rFonts w:hAnsi="宋体" w:cs="宋体"/>
                <w:sz w:val="18"/>
                <w:szCs w:val="18"/>
                <w:highlight w:val="none"/>
              </w:rPr>
            </w:pPr>
            <w:r>
              <w:rPr>
                <w:rFonts w:hint="eastAsia" w:hAnsi="宋体" w:cs="宋体"/>
                <w:sz w:val="18"/>
                <w:szCs w:val="18"/>
                <w:highlight w:val="none"/>
              </w:rPr>
              <w:t>●</w:t>
            </w:r>
          </w:p>
        </w:tc>
        <w:tc>
          <w:tcPr>
            <w:tcW w:w="1685" w:type="dxa"/>
            <w:tcBorders>
              <w:top w:val="single" w:color="auto" w:sz="8" w:space="0"/>
            </w:tcBorders>
          </w:tcPr>
          <w:p>
            <w:pPr>
              <w:pStyle w:val="233"/>
              <w:ind w:firstLine="0" w:firstLineChars="0"/>
              <w:jc w:val="center"/>
              <w:rPr>
                <w:rFonts w:hAnsi="宋体" w:cs="宋体"/>
                <w:sz w:val="18"/>
                <w:szCs w:val="18"/>
                <w:highlight w:val="none"/>
              </w:rPr>
            </w:pPr>
            <w:r>
              <w:rPr>
                <w:rFonts w:hint="eastAsia" w:hAnsi="宋体" w:cs="宋体"/>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718" w:type="dxa"/>
            <w:vAlign w:val="center"/>
          </w:tcPr>
          <w:p>
            <w:pPr>
              <w:pStyle w:val="233"/>
              <w:ind w:firstLine="0" w:firstLineChars="0"/>
              <w:jc w:val="center"/>
              <w:rPr>
                <w:rFonts w:hAnsi="宋体" w:cs="宋体"/>
                <w:sz w:val="18"/>
                <w:szCs w:val="18"/>
                <w:highlight w:val="none"/>
              </w:rPr>
            </w:pPr>
            <w:r>
              <w:rPr>
                <w:rFonts w:hint="eastAsia" w:hAnsi="宋体" w:cs="宋体"/>
                <w:sz w:val="18"/>
                <w:szCs w:val="18"/>
                <w:highlight w:val="none"/>
              </w:rPr>
              <w:t>固体含量</w:t>
            </w:r>
          </w:p>
        </w:tc>
        <w:tc>
          <w:tcPr>
            <w:tcW w:w="1650" w:type="dxa"/>
          </w:tcPr>
          <w:p>
            <w:pPr>
              <w:adjustRightInd/>
              <w:spacing w:line="240" w:lineRule="auto"/>
              <w:jc w:val="center"/>
              <w:rPr>
                <w:rFonts w:hAnsi="宋体" w:cs="宋体"/>
                <w:sz w:val="18"/>
                <w:szCs w:val="18"/>
                <w:highlight w:val="none"/>
              </w:rPr>
            </w:pPr>
            <w:r>
              <w:rPr>
                <w:rFonts w:hint="eastAsia" w:ascii="宋体" w:hAnsi="宋体" w:cs="宋体"/>
                <w:sz w:val="18"/>
                <w:szCs w:val="18"/>
                <w:highlight w:val="none"/>
              </w:rPr>
              <w:t>4.2</w:t>
            </w:r>
          </w:p>
        </w:tc>
        <w:tc>
          <w:tcPr>
            <w:tcW w:w="1675"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5.3</w:t>
            </w:r>
          </w:p>
        </w:tc>
        <w:tc>
          <w:tcPr>
            <w:tcW w:w="1710"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w:t>
            </w:r>
          </w:p>
        </w:tc>
        <w:tc>
          <w:tcPr>
            <w:tcW w:w="1685"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718" w:type="dxa"/>
            <w:vAlign w:val="center"/>
          </w:tcPr>
          <w:p>
            <w:pPr>
              <w:pStyle w:val="233"/>
              <w:ind w:firstLine="0" w:firstLineChars="0"/>
              <w:jc w:val="center"/>
              <w:rPr>
                <w:rFonts w:hAnsi="宋体" w:cs="宋体"/>
                <w:sz w:val="18"/>
                <w:szCs w:val="18"/>
                <w:highlight w:val="none"/>
              </w:rPr>
            </w:pPr>
            <w:r>
              <w:rPr>
                <w:rFonts w:hint="eastAsia" w:hAnsi="宋体" w:cs="宋体"/>
                <w:sz w:val="18"/>
                <w:szCs w:val="18"/>
                <w:highlight w:val="none"/>
              </w:rPr>
              <w:t>细度</w:t>
            </w:r>
          </w:p>
        </w:tc>
        <w:tc>
          <w:tcPr>
            <w:tcW w:w="1650" w:type="dxa"/>
          </w:tcPr>
          <w:p>
            <w:pPr>
              <w:adjustRightInd/>
              <w:spacing w:line="240" w:lineRule="auto"/>
              <w:jc w:val="center"/>
              <w:rPr>
                <w:rFonts w:ascii="宋体" w:hAnsi="宋体" w:cs="宋体"/>
                <w:sz w:val="18"/>
                <w:szCs w:val="18"/>
                <w:highlight w:val="none"/>
              </w:rPr>
            </w:pPr>
            <w:r>
              <w:rPr>
                <w:rFonts w:hint="eastAsia" w:ascii="宋体" w:hAnsi="宋体" w:cs="宋体"/>
                <w:sz w:val="18"/>
                <w:szCs w:val="18"/>
                <w:highlight w:val="none"/>
              </w:rPr>
              <w:t>4.2</w:t>
            </w:r>
          </w:p>
        </w:tc>
        <w:tc>
          <w:tcPr>
            <w:tcW w:w="1675"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5.4</w:t>
            </w:r>
          </w:p>
        </w:tc>
        <w:tc>
          <w:tcPr>
            <w:tcW w:w="1710"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w:t>
            </w:r>
          </w:p>
        </w:tc>
        <w:tc>
          <w:tcPr>
            <w:tcW w:w="1685"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718" w:type="dxa"/>
            <w:vAlign w:val="center"/>
          </w:tcPr>
          <w:p>
            <w:pPr>
              <w:pStyle w:val="233"/>
              <w:ind w:firstLine="0" w:firstLineChars="0"/>
              <w:jc w:val="center"/>
              <w:rPr>
                <w:rFonts w:hAnsi="宋体" w:cs="宋体"/>
                <w:sz w:val="18"/>
                <w:szCs w:val="18"/>
                <w:highlight w:val="none"/>
              </w:rPr>
            </w:pPr>
            <w:r>
              <w:rPr>
                <w:rFonts w:hint="eastAsia" w:hAnsi="宋体" w:cs="宋体"/>
                <w:sz w:val="18"/>
                <w:szCs w:val="18"/>
                <w:highlight w:val="none"/>
              </w:rPr>
              <w:t>粘度</w:t>
            </w:r>
          </w:p>
        </w:tc>
        <w:tc>
          <w:tcPr>
            <w:tcW w:w="1650" w:type="dxa"/>
          </w:tcPr>
          <w:p>
            <w:pPr>
              <w:adjustRightInd/>
              <w:spacing w:line="240" w:lineRule="auto"/>
              <w:jc w:val="center"/>
              <w:rPr>
                <w:rFonts w:ascii="宋体" w:hAnsi="宋体" w:cs="宋体"/>
                <w:sz w:val="18"/>
                <w:szCs w:val="18"/>
                <w:highlight w:val="none"/>
              </w:rPr>
            </w:pPr>
            <w:r>
              <w:rPr>
                <w:rFonts w:hint="eastAsia" w:ascii="宋体" w:hAnsi="宋体" w:cs="宋体"/>
                <w:sz w:val="18"/>
                <w:szCs w:val="18"/>
                <w:highlight w:val="none"/>
              </w:rPr>
              <w:t>4.2</w:t>
            </w:r>
          </w:p>
        </w:tc>
        <w:tc>
          <w:tcPr>
            <w:tcW w:w="1675"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5.5</w:t>
            </w:r>
          </w:p>
        </w:tc>
        <w:tc>
          <w:tcPr>
            <w:tcW w:w="1710" w:type="dxa"/>
          </w:tcPr>
          <w:p>
            <w:pPr>
              <w:adjustRightInd/>
              <w:spacing w:line="240" w:lineRule="auto"/>
              <w:jc w:val="center"/>
              <w:rPr>
                <w:rFonts w:hAnsi="宋体" w:cs="宋体"/>
                <w:sz w:val="18"/>
                <w:szCs w:val="18"/>
                <w:highlight w:val="none"/>
              </w:rPr>
            </w:pPr>
            <w:r>
              <w:rPr>
                <w:rFonts w:hint="eastAsia" w:hAnsi="宋体" w:cs="宋体"/>
                <w:sz w:val="18"/>
                <w:szCs w:val="18"/>
                <w:highlight w:val="none"/>
              </w:rPr>
              <w:t>●</w:t>
            </w:r>
          </w:p>
        </w:tc>
        <w:tc>
          <w:tcPr>
            <w:tcW w:w="1685" w:type="dxa"/>
          </w:tcPr>
          <w:p>
            <w:pPr>
              <w:adjustRightInd/>
              <w:spacing w:line="240" w:lineRule="auto"/>
              <w:jc w:val="center"/>
              <w:rPr>
                <w:rFonts w:hAnsi="宋体" w:cs="宋体"/>
                <w:sz w:val="18"/>
                <w:szCs w:val="18"/>
                <w:highlight w:val="none"/>
              </w:rPr>
            </w:pPr>
            <w:r>
              <w:rPr>
                <w:rFonts w:hint="eastAsia" w:hAnsi="宋体" w:cs="宋体"/>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718" w:type="dxa"/>
            <w:vAlign w:val="center"/>
          </w:tcPr>
          <w:p>
            <w:pPr>
              <w:pStyle w:val="233"/>
              <w:ind w:firstLine="0" w:firstLineChars="0"/>
              <w:jc w:val="center"/>
              <w:rPr>
                <w:rFonts w:hAnsi="宋体" w:cs="宋体"/>
                <w:sz w:val="18"/>
                <w:szCs w:val="18"/>
                <w:highlight w:val="none"/>
              </w:rPr>
            </w:pPr>
            <w:r>
              <w:rPr>
                <w:rFonts w:hint="eastAsia" w:hAnsi="宋体" w:cs="宋体"/>
                <w:sz w:val="18"/>
                <w:szCs w:val="18"/>
                <w:highlight w:val="none"/>
              </w:rPr>
              <w:t>成膜后的外观</w:t>
            </w:r>
          </w:p>
        </w:tc>
        <w:tc>
          <w:tcPr>
            <w:tcW w:w="1650" w:type="dxa"/>
          </w:tcPr>
          <w:p>
            <w:pPr>
              <w:adjustRightInd/>
              <w:spacing w:line="240" w:lineRule="auto"/>
              <w:jc w:val="center"/>
              <w:rPr>
                <w:rFonts w:ascii="宋体" w:hAnsi="宋体" w:cs="宋体"/>
                <w:sz w:val="18"/>
                <w:szCs w:val="18"/>
                <w:highlight w:val="none"/>
              </w:rPr>
            </w:pPr>
            <w:r>
              <w:rPr>
                <w:rFonts w:hint="eastAsia" w:ascii="宋体" w:hAnsi="宋体" w:cs="宋体"/>
                <w:sz w:val="18"/>
                <w:szCs w:val="18"/>
                <w:highlight w:val="none"/>
              </w:rPr>
              <w:t>4.3</w:t>
            </w:r>
          </w:p>
        </w:tc>
        <w:tc>
          <w:tcPr>
            <w:tcW w:w="1675"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5.2</w:t>
            </w:r>
          </w:p>
        </w:tc>
        <w:tc>
          <w:tcPr>
            <w:tcW w:w="1710" w:type="dxa"/>
          </w:tcPr>
          <w:p>
            <w:pPr>
              <w:adjustRightInd/>
              <w:spacing w:line="240" w:lineRule="auto"/>
              <w:jc w:val="center"/>
              <w:rPr>
                <w:rFonts w:hAnsi="宋体" w:cs="宋体"/>
                <w:sz w:val="18"/>
                <w:szCs w:val="18"/>
                <w:highlight w:val="none"/>
              </w:rPr>
            </w:pPr>
            <w:r>
              <w:rPr>
                <w:rFonts w:hint="eastAsia" w:hAnsi="宋体" w:cs="宋体"/>
                <w:sz w:val="18"/>
                <w:szCs w:val="18"/>
                <w:highlight w:val="none"/>
              </w:rPr>
              <w:t>●</w:t>
            </w:r>
          </w:p>
        </w:tc>
        <w:tc>
          <w:tcPr>
            <w:tcW w:w="1685" w:type="dxa"/>
          </w:tcPr>
          <w:p>
            <w:pPr>
              <w:pStyle w:val="233"/>
              <w:ind w:firstLine="0" w:firstLineChars="0"/>
              <w:jc w:val="center"/>
              <w:rPr>
                <w:rFonts w:hAnsi="宋体" w:cs="宋体"/>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718" w:type="dxa"/>
            <w:vAlign w:val="center"/>
          </w:tcPr>
          <w:p>
            <w:pPr>
              <w:pStyle w:val="233"/>
              <w:ind w:firstLine="0" w:firstLineChars="0"/>
              <w:jc w:val="center"/>
              <w:rPr>
                <w:rFonts w:hAnsi="宋体" w:cs="宋体"/>
                <w:sz w:val="18"/>
                <w:szCs w:val="18"/>
                <w:highlight w:val="none"/>
              </w:rPr>
            </w:pPr>
            <w:r>
              <w:rPr>
                <w:rFonts w:hint="eastAsia" w:hAnsi="宋体" w:cs="宋体"/>
                <w:sz w:val="18"/>
                <w:szCs w:val="18"/>
                <w:highlight w:val="none"/>
              </w:rPr>
              <w:t>体积电阻率</w:t>
            </w:r>
          </w:p>
        </w:tc>
        <w:tc>
          <w:tcPr>
            <w:tcW w:w="1650" w:type="dxa"/>
          </w:tcPr>
          <w:p>
            <w:pPr>
              <w:adjustRightInd/>
              <w:spacing w:line="240" w:lineRule="auto"/>
              <w:jc w:val="center"/>
              <w:rPr>
                <w:rFonts w:ascii="宋体" w:hAnsi="宋体" w:cs="宋体"/>
                <w:sz w:val="18"/>
                <w:szCs w:val="18"/>
                <w:highlight w:val="none"/>
              </w:rPr>
            </w:pPr>
            <w:r>
              <w:rPr>
                <w:rFonts w:hint="eastAsia" w:ascii="宋体" w:hAnsi="宋体" w:cs="宋体"/>
                <w:sz w:val="18"/>
                <w:szCs w:val="18"/>
                <w:highlight w:val="none"/>
              </w:rPr>
              <w:t>4.3</w:t>
            </w:r>
          </w:p>
        </w:tc>
        <w:tc>
          <w:tcPr>
            <w:tcW w:w="1675"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5.6</w:t>
            </w:r>
          </w:p>
        </w:tc>
        <w:tc>
          <w:tcPr>
            <w:tcW w:w="1710" w:type="dxa"/>
          </w:tcPr>
          <w:p>
            <w:pPr>
              <w:adjustRightInd/>
              <w:spacing w:line="240" w:lineRule="auto"/>
              <w:jc w:val="center"/>
              <w:rPr>
                <w:rFonts w:hAnsi="宋体" w:cs="宋体"/>
                <w:sz w:val="18"/>
                <w:szCs w:val="18"/>
                <w:highlight w:val="none"/>
              </w:rPr>
            </w:pPr>
            <w:r>
              <w:rPr>
                <w:rFonts w:hint="eastAsia" w:hAnsi="宋体" w:cs="宋体"/>
                <w:sz w:val="18"/>
                <w:szCs w:val="18"/>
                <w:highlight w:val="none"/>
              </w:rPr>
              <w:t>●</w:t>
            </w:r>
          </w:p>
        </w:tc>
        <w:tc>
          <w:tcPr>
            <w:tcW w:w="1685" w:type="dxa"/>
          </w:tcPr>
          <w:p>
            <w:pPr>
              <w:pStyle w:val="233"/>
              <w:ind w:firstLine="0" w:firstLineChars="0"/>
              <w:jc w:val="center"/>
              <w:rPr>
                <w:rFonts w:hAnsi="宋体" w:cs="宋体"/>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718" w:type="dxa"/>
            <w:vAlign w:val="center"/>
          </w:tcPr>
          <w:p>
            <w:pPr>
              <w:pStyle w:val="233"/>
              <w:ind w:firstLine="0" w:firstLineChars="0"/>
              <w:jc w:val="center"/>
              <w:rPr>
                <w:rFonts w:hAnsi="宋体" w:cs="宋体"/>
                <w:sz w:val="18"/>
                <w:szCs w:val="18"/>
                <w:highlight w:val="none"/>
              </w:rPr>
            </w:pPr>
            <w:r>
              <w:rPr>
                <w:rFonts w:hint="eastAsia" w:hAnsi="宋体" w:cs="宋体"/>
                <w:sz w:val="18"/>
                <w:szCs w:val="18"/>
                <w:highlight w:val="none"/>
              </w:rPr>
              <w:t>接触电阻率</w:t>
            </w:r>
          </w:p>
        </w:tc>
        <w:tc>
          <w:tcPr>
            <w:tcW w:w="1650" w:type="dxa"/>
          </w:tcPr>
          <w:p>
            <w:pPr>
              <w:adjustRightInd/>
              <w:spacing w:line="240" w:lineRule="auto"/>
              <w:jc w:val="center"/>
              <w:rPr>
                <w:rFonts w:ascii="宋体" w:hAnsi="宋体" w:cs="宋体"/>
                <w:sz w:val="18"/>
                <w:szCs w:val="18"/>
                <w:highlight w:val="none"/>
              </w:rPr>
            </w:pPr>
            <w:r>
              <w:rPr>
                <w:rFonts w:hint="eastAsia" w:ascii="宋体" w:hAnsi="宋体" w:cs="宋体"/>
                <w:sz w:val="18"/>
                <w:szCs w:val="18"/>
                <w:highlight w:val="none"/>
              </w:rPr>
              <w:t>4.3</w:t>
            </w:r>
          </w:p>
        </w:tc>
        <w:tc>
          <w:tcPr>
            <w:tcW w:w="1675"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5</w:t>
            </w:r>
            <w:r>
              <w:rPr>
                <w:rFonts w:hAnsi="宋体" w:cs="宋体"/>
                <w:sz w:val="18"/>
                <w:szCs w:val="18"/>
                <w:highlight w:val="none"/>
              </w:rPr>
              <w:t>.7</w:t>
            </w:r>
          </w:p>
        </w:tc>
        <w:tc>
          <w:tcPr>
            <w:tcW w:w="1710" w:type="dxa"/>
          </w:tcPr>
          <w:p>
            <w:pPr>
              <w:adjustRightInd/>
              <w:spacing w:line="240" w:lineRule="auto"/>
              <w:jc w:val="center"/>
              <w:rPr>
                <w:rFonts w:hAnsi="宋体" w:cs="宋体"/>
                <w:sz w:val="18"/>
                <w:szCs w:val="18"/>
                <w:highlight w:val="none"/>
              </w:rPr>
            </w:pPr>
            <w:r>
              <w:rPr>
                <w:rFonts w:hint="eastAsia" w:hAnsi="宋体" w:cs="宋体"/>
                <w:sz w:val="18"/>
                <w:szCs w:val="18"/>
                <w:highlight w:val="none"/>
              </w:rPr>
              <w:t>●</w:t>
            </w:r>
          </w:p>
        </w:tc>
        <w:tc>
          <w:tcPr>
            <w:tcW w:w="1685" w:type="dxa"/>
          </w:tcPr>
          <w:p>
            <w:pPr>
              <w:pStyle w:val="233"/>
              <w:ind w:firstLine="0" w:firstLineChars="0"/>
              <w:jc w:val="center"/>
              <w:rPr>
                <w:rFonts w:hAnsi="宋体" w:cs="宋体"/>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718" w:type="dxa"/>
            <w:vAlign w:val="center"/>
          </w:tcPr>
          <w:p>
            <w:pPr>
              <w:pStyle w:val="233"/>
              <w:ind w:firstLine="0" w:firstLineChars="0"/>
              <w:jc w:val="center"/>
              <w:rPr>
                <w:rFonts w:hAnsi="宋体" w:cs="宋体"/>
                <w:sz w:val="18"/>
                <w:szCs w:val="18"/>
                <w:highlight w:val="none"/>
              </w:rPr>
            </w:pPr>
            <w:r>
              <w:rPr>
                <w:rFonts w:hint="eastAsia" w:hAnsi="宋体" w:cs="宋体"/>
                <w:sz w:val="18"/>
                <w:szCs w:val="18"/>
                <w:highlight w:val="none"/>
              </w:rPr>
              <w:t>可焊性</w:t>
            </w:r>
          </w:p>
        </w:tc>
        <w:tc>
          <w:tcPr>
            <w:tcW w:w="1650" w:type="dxa"/>
          </w:tcPr>
          <w:p>
            <w:pPr>
              <w:adjustRightInd/>
              <w:spacing w:line="240" w:lineRule="auto"/>
              <w:jc w:val="center"/>
              <w:rPr>
                <w:rFonts w:ascii="宋体" w:hAnsi="宋体" w:cs="宋体"/>
                <w:sz w:val="18"/>
                <w:szCs w:val="18"/>
                <w:highlight w:val="none"/>
              </w:rPr>
            </w:pPr>
            <w:r>
              <w:rPr>
                <w:rFonts w:hint="eastAsia" w:ascii="宋体" w:hAnsi="宋体" w:cs="宋体"/>
                <w:sz w:val="18"/>
                <w:szCs w:val="18"/>
                <w:highlight w:val="none"/>
              </w:rPr>
              <w:t>4.3</w:t>
            </w:r>
          </w:p>
        </w:tc>
        <w:tc>
          <w:tcPr>
            <w:tcW w:w="1675"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5</w:t>
            </w:r>
            <w:r>
              <w:rPr>
                <w:rFonts w:hAnsi="宋体" w:cs="宋体"/>
                <w:sz w:val="18"/>
                <w:szCs w:val="18"/>
                <w:highlight w:val="none"/>
              </w:rPr>
              <w:t>.8</w:t>
            </w:r>
          </w:p>
        </w:tc>
        <w:tc>
          <w:tcPr>
            <w:tcW w:w="1710" w:type="dxa"/>
          </w:tcPr>
          <w:p>
            <w:pPr>
              <w:adjustRightInd/>
              <w:spacing w:line="240" w:lineRule="auto"/>
              <w:jc w:val="center"/>
              <w:rPr>
                <w:rFonts w:hAnsi="宋体" w:cs="宋体"/>
                <w:sz w:val="18"/>
                <w:szCs w:val="18"/>
                <w:highlight w:val="none"/>
              </w:rPr>
            </w:pPr>
            <w:r>
              <w:rPr>
                <w:rFonts w:hint="eastAsia" w:hAnsi="宋体" w:cs="宋体"/>
                <w:sz w:val="18"/>
                <w:szCs w:val="18"/>
                <w:highlight w:val="none"/>
              </w:rPr>
              <w:t>●</w:t>
            </w:r>
          </w:p>
        </w:tc>
        <w:tc>
          <w:tcPr>
            <w:tcW w:w="1685" w:type="dxa"/>
          </w:tcPr>
          <w:p>
            <w:pPr>
              <w:pStyle w:val="233"/>
              <w:ind w:firstLine="0" w:firstLineChars="0"/>
              <w:jc w:val="center"/>
              <w:rPr>
                <w:rFonts w:hAnsi="宋体" w:cs="宋体"/>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718" w:type="dxa"/>
            <w:vAlign w:val="center"/>
          </w:tcPr>
          <w:p>
            <w:pPr>
              <w:pStyle w:val="233"/>
              <w:ind w:firstLine="0" w:firstLineChars="0"/>
              <w:jc w:val="center"/>
              <w:rPr>
                <w:rFonts w:hAnsi="宋体" w:cs="宋体"/>
                <w:sz w:val="18"/>
                <w:szCs w:val="18"/>
                <w:highlight w:val="none"/>
              </w:rPr>
            </w:pPr>
            <w:r>
              <w:rPr>
                <w:rFonts w:hint="eastAsia" w:hAnsi="宋体" w:cs="宋体"/>
                <w:sz w:val="18"/>
                <w:szCs w:val="18"/>
                <w:highlight w:val="none"/>
              </w:rPr>
              <w:t>附着力</w:t>
            </w:r>
          </w:p>
        </w:tc>
        <w:tc>
          <w:tcPr>
            <w:tcW w:w="1650" w:type="dxa"/>
          </w:tcPr>
          <w:p>
            <w:pPr>
              <w:adjustRightInd/>
              <w:spacing w:line="240" w:lineRule="auto"/>
              <w:jc w:val="center"/>
              <w:rPr>
                <w:rFonts w:ascii="宋体" w:hAnsi="宋体" w:cs="宋体"/>
                <w:sz w:val="18"/>
                <w:szCs w:val="18"/>
                <w:highlight w:val="none"/>
              </w:rPr>
            </w:pPr>
            <w:r>
              <w:rPr>
                <w:rFonts w:hint="eastAsia" w:ascii="宋体" w:hAnsi="宋体" w:cs="宋体"/>
                <w:sz w:val="18"/>
                <w:szCs w:val="18"/>
                <w:highlight w:val="none"/>
              </w:rPr>
              <w:t>4.3</w:t>
            </w:r>
          </w:p>
        </w:tc>
        <w:tc>
          <w:tcPr>
            <w:tcW w:w="1675"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5.</w:t>
            </w:r>
            <w:r>
              <w:rPr>
                <w:rFonts w:hAnsi="宋体" w:cs="宋体"/>
                <w:sz w:val="18"/>
                <w:szCs w:val="18"/>
                <w:highlight w:val="none"/>
              </w:rPr>
              <w:t>9</w:t>
            </w:r>
          </w:p>
        </w:tc>
        <w:tc>
          <w:tcPr>
            <w:tcW w:w="1710" w:type="dxa"/>
          </w:tcPr>
          <w:p>
            <w:pPr>
              <w:adjustRightInd/>
              <w:spacing w:line="240" w:lineRule="auto"/>
              <w:jc w:val="center"/>
              <w:rPr>
                <w:rFonts w:hAnsi="宋体" w:cs="宋体"/>
                <w:sz w:val="18"/>
                <w:szCs w:val="18"/>
                <w:highlight w:val="none"/>
              </w:rPr>
            </w:pPr>
            <w:r>
              <w:rPr>
                <w:rFonts w:hint="eastAsia" w:hAnsi="宋体" w:cs="宋体"/>
                <w:sz w:val="18"/>
                <w:szCs w:val="18"/>
                <w:highlight w:val="none"/>
              </w:rPr>
              <w:t>●</w:t>
            </w:r>
          </w:p>
        </w:tc>
        <w:tc>
          <w:tcPr>
            <w:tcW w:w="1685" w:type="dxa"/>
          </w:tcPr>
          <w:p>
            <w:pPr>
              <w:pStyle w:val="233"/>
              <w:ind w:firstLine="0" w:firstLineChars="0"/>
              <w:jc w:val="center"/>
              <w:rPr>
                <w:rFonts w:hAnsi="宋体" w:cs="宋体"/>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718" w:type="dxa"/>
            <w:vAlign w:val="center"/>
          </w:tcPr>
          <w:p>
            <w:pPr>
              <w:pStyle w:val="233"/>
              <w:ind w:firstLine="0" w:firstLineChars="0"/>
              <w:jc w:val="center"/>
              <w:rPr>
                <w:rFonts w:hAnsi="宋体" w:cs="宋体"/>
                <w:sz w:val="18"/>
                <w:szCs w:val="18"/>
                <w:highlight w:val="none"/>
              </w:rPr>
            </w:pPr>
            <w:r>
              <w:rPr>
                <w:rFonts w:hint="eastAsia" w:hAnsi="宋体" w:cs="宋体"/>
                <w:sz w:val="18"/>
                <w:szCs w:val="18"/>
                <w:highlight w:val="none"/>
              </w:rPr>
              <w:t>耐老化性能</w:t>
            </w:r>
          </w:p>
        </w:tc>
        <w:tc>
          <w:tcPr>
            <w:tcW w:w="1650" w:type="dxa"/>
          </w:tcPr>
          <w:p>
            <w:pPr>
              <w:adjustRightInd/>
              <w:spacing w:line="240" w:lineRule="auto"/>
              <w:jc w:val="center"/>
              <w:rPr>
                <w:rFonts w:ascii="宋体" w:hAnsi="宋体" w:cs="宋体"/>
                <w:sz w:val="18"/>
                <w:szCs w:val="18"/>
                <w:highlight w:val="none"/>
              </w:rPr>
            </w:pPr>
            <w:r>
              <w:rPr>
                <w:rFonts w:hint="eastAsia" w:ascii="宋体" w:hAnsi="宋体" w:cs="宋体"/>
                <w:sz w:val="18"/>
                <w:szCs w:val="18"/>
                <w:highlight w:val="none"/>
              </w:rPr>
              <w:t>4.3</w:t>
            </w:r>
          </w:p>
        </w:tc>
        <w:tc>
          <w:tcPr>
            <w:tcW w:w="1675" w:type="dxa"/>
          </w:tcPr>
          <w:p>
            <w:pPr>
              <w:pStyle w:val="233"/>
              <w:ind w:firstLine="0" w:firstLineChars="0"/>
              <w:jc w:val="center"/>
              <w:rPr>
                <w:rFonts w:hAnsi="宋体" w:cs="宋体"/>
                <w:sz w:val="18"/>
                <w:szCs w:val="18"/>
                <w:highlight w:val="none"/>
              </w:rPr>
            </w:pPr>
            <w:r>
              <w:rPr>
                <w:rFonts w:hint="eastAsia" w:hAnsi="宋体" w:cs="宋体"/>
                <w:sz w:val="18"/>
                <w:szCs w:val="18"/>
                <w:highlight w:val="none"/>
              </w:rPr>
              <w:t>5.</w:t>
            </w:r>
            <w:r>
              <w:rPr>
                <w:rFonts w:hAnsi="宋体" w:cs="宋体"/>
                <w:sz w:val="18"/>
                <w:szCs w:val="18"/>
                <w:highlight w:val="none"/>
              </w:rPr>
              <w:t>10</w:t>
            </w:r>
          </w:p>
        </w:tc>
        <w:tc>
          <w:tcPr>
            <w:tcW w:w="1710" w:type="dxa"/>
          </w:tcPr>
          <w:p>
            <w:pPr>
              <w:adjustRightInd/>
              <w:spacing w:line="240" w:lineRule="auto"/>
              <w:jc w:val="center"/>
              <w:rPr>
                <w:rFonts w:hAnsi="宋体" w:cs="宋体"/>
                <w:sz w:val="18"/>
                <w:szCs w:val="18"/>
                <w:highlight w:val="none"/>
              </w:rPr>
            </w:pPr>
            <w:r>
              <w:rPr>
                <w:rFonts w:hint="eastAsia" w:hAnsi="宋体" w:cs="宋体"/>
                <w:sz w:val="18"/>
                <w:szCs w:val="18"/>
                <w:highlight w:val="none"/>
              </w:rPr>
              <w:t>供需双方协商确定</w:t>
            </w:r>
          </w:p>
        </w:tc>
        <w:tc>
          <w:tcPr>
            <w:tcW w:w="1685" w:type="dxa"/>
          </w:tcPr>
          <w:p>
            <w:pPr>
              <w:pStyle w:val="233"/>
              <w:ind w:firstLine="0" w:firstLineChars="0"/>
              <w:jc w:val="center"/>
              <w:rPr>
                <w:rFonts w:hAnsi="宋体" w:cs="宋体"/>
                <w:sz w:val="18"/>
                <w:szCs w:val="18"/>
                <w:highlight w:val="none"/>
              </w:rPr>
            </w:pPr>
          </w:p>
        </w:tc>
      </w:tr>
    </w:tbl>
    <w:p>
      <w:pPr>
        <w:pStyle w:val="67"/>
        <w:spacing w:before="120" w:after="120"/>
        <w:rPr>
          <w:highlight w:val="none"/>
        </w:rPr>
      </w:pPr>
      <w:bookmarkStart w:id="147" w:name="_Toc137568435"/>
      <w:bookmarkStart w:id="148" w:name="_Toc19202"/>
      <w:r>
        <w:rPr>
          <w:rFonts w:hint="eastAsia"/>
          <w:highlight w:val="none"/>
        </w:rPr>
        <w:t>合格判定</w:t>
      </w:r>
      <w:bookmarkEnd w:id="147"/>
      <w:bookmarkEnd w:id="148"/>
    </w:p>
    <w:p>
      <w:pPr>
        <w:pStyle w:val="233"/>
        <w:rPr>
          <w:highlight w:val="none"/>
        </w:rPr>
      </w:pPr>
      <w:r>
        <w:rPr>
          <w:rFonts w:hint="eastAsia"/>
          <w:szCs w:val="21"/>
          <w:highlight w:val="none"/>
        </w:rPr>
        <w:t>当所有型式检验项目符合</w:t>
      </w:r>
      <w:r>
        <w:rPr>
          <w:rFonts w:hint="eastAsia"/>
          <w:szCs w:val="21"/>
          <w:highlight w:val="none"/>
          <w:lang w:eastAsia="zh-CN"/>
        </w:rPr>
        <w:t>本文件</w:t>
      </w:r>
      <w:r>
        <w:rPr>
          <w:rFonts w:hint="eastAsia"/>
          <w:szCs w:val="21"/>
          <w:highlight w:val="none"/>
        </w:rPr>
        <w:t>的要求时，则型式检验合格；若有任一型式检验项目不符合</w:t>
      </w:r>
      <w:r>
        <w:rPr>
          <w:rFonts w:hint="eastAsia"/>
          <w:szCs w:val="21"/>
          <w:highlight w:val="none"/>
          <w:lang w:eastAsia="zh-CN"/>
        </w:rPr>
        <w:t>本文件</w:t>
      </w:r>
      <w:r>
        <w:rPr>
          <w:rFonts w:hint="eastAsia"/>
          <w:szCs w:val="21"/>
          <w:highlight w:val="none"/>
        </w:rPr>
        <w:t>的要求，则型式检验不合格。</w:t>
      </w:r>
    </w:p>
    <w:p>
      <w:pPr>
        <w:pStyle w:val="107"/>
        <w:spacing w:before="120" w:after="120"/>
        <w:rPr>
          <w:highlight w:val="none"/>
        </w:rPr>
      </w:pPr>
      <w:bookmarkStart w:id="149" w:name="_Toc137568436"/>
      <w:bookmarkStart w:id="150" w:name="_Toc28858"/>
      <w:r>
        <w:rPr>
          <w:rFonts w:hint="eastAsia"/>
          <w:highlight w:val="none"/>
        </w:rPr>
        <w:t>出厂检验</w:t>
      </w:r>
      <w:bookmarkEnd w:id="149"/>
      <w:bookmarkEnd w:id="150"/>
    </w:p>
    <w:p>
      <w:pPr>
        <w:pStyle w:val="67"/>
        <w:spacing w:before="120" w:after="120"/>
        <w:rPr>
          <w:highlight w:val="none"/>
        </w:rPr>
      </w:pPr>
      <w:bookmarkStart w:id="151" w:name="_Toc11234"/>
      <w:bookmarkStart w:id="152" w:name="_Toc137568437"/>
      <w:r>
        <w:rPr>
          <w:rFonts w:hint="eastAsia"/>
          <w:highlight w:val="none"/>
        </w:rPr>
        <w:t>组批</w:t>
      </w:r>
      <w:bookmarkEnd w:id="140"/>
      <w:bookmarkEnd w:id="151"/>
      <w:bookmarkEnd w:id="152"/>
    </w:p>
    <w:p>
      <w:pPr>
        <w:pStyle w:val="233"/>
        <w:rPr>
          <w:highlight w:val="none"/>
        </w:rPr>
      </w:pPr>
      <w:r>
        <w:rPr>
          <w:rFonts w:hint="eastAsia"/>
          <w:highlight w:val="none"/>
        </w:rPr>
        <w:t>由同一次投料生产出的固化型银浆为一个检验批。</w:t>
      </w:r>
    </w:p>
    <w:p>
      <w:pPr>
        <w:pStyle w:val="67"/>
        <w:spacing w:before="120" w:after="120"/>
        <w:rPr>
          <w:highlight w:val="none"/>
        </w:rPr>
      </w:pPr>
      <w:bookmarkStart w:id="153" w:name="_Toc18417"/>
      <w:bookmarkStart w:id="154" w:name="_Toc137568438"/>
      <w:bookmarkStart w:id="155" w:name="_Toc461376781"/>
      <w:r>
        <w:rPr>
          <w:rFonts w:hint="eastAsia"/>
          <w:highlight w:val="none"/>
        </w:rPr>
        <w:t>抽样</w:t>
      </w:r>
      <w:bookmarkEnd w:id="153"/>
      <w:bookmarkEnd w:id="154"/>
    </w:p>
    <w:p>
      <w:pPr>
        <w:pStyle w:val="233"/>
        <w:rPr>
          <w:highlight w:val="none"/>
        </w:rPr>
      </w:pPr>
      <w:r>
        <w:rPr>
          <w:rFonts w:hint="eastAsia"/>
          <w:highlight w:val="none"/>
        </w:rPr>
        <w:t>每批产品在100瓶以下时随机抽取1瓶，取适量银浆作为检验样品。每批产品在100瓶以上，每增加100瓶（不足100瓶时以100瓶计）多抽取1瓶产品取样。</w:t>
      </w:r>
    </w:p>
    <w:p>
      <w:pPr>
        <w:pStyle w:val="67"/>
        <w:spacing w:before="120" w:after="120"/>
        <w:rPr>
          <w:highlight w:val="none"/>
        </w:rPr>
      </w:pPr>
      <w:bookmarkStart w:id="156" w:name="_Toc21437"/>
      <w:bookmarkStart w:id="157" w:name="_Toc137568439"/>
      <w:r>
        <w:rPr>
          <w:rFonts w:hint="eastAsia"/>
          <w:highlight w:val="none"/>
        </w:rPr>
        <w:t>检验项目</w:t>
      </w:r>
      <w:bookmarkEnd w:id="155"/>
      <w:bookmarkEnd w:id="156"/>
      <w:bookmarkEnd w:id="157"/>
    </w:p>
    <w:p>
      <w:pPr>
        <w:pStyle w:val="233"/>
        <w:rPr>
          <w:highlight w:val="none"/>
        </w:rPr>
      </w:pPr>
      <w:r>
        <w:rPr>
          <w:rFonts w:hint="eastAsia"/>
          <w:highlight w:val="none"/>
        </w:rPr>
        <w:t>出厂检验</w:t>
      </w:r>
      <w:r>
        <w:rPr>
          <w:rFonts w:hint="eastAsia"/>
          <w:szCs w:val="21"/>
          <w:highlight w:val="none"/>
        </w:rPr>
        <w:t>项目应</w:t>
      </w:r>
      <w:r>
        <w:rPr>
          <w:rFonts w:hint="eastAsia" w:hAnsi="宋体"/>
          <w:highlight w:val="none"/>
        </w:rPr>
        <w:t>符合表3的要求。银浆外观检查为全数检验，其他项目以批次为单位进行抽检。</w:t>
      </w:r>
    </w:p>
    <w:p>
      <w:pPr>
        <w:pStyle w:val="67"/>
        <w:spacing w:before="120" w:after="120"/>
        <w:rPr>
          <w:highlight w:val="none"/>
        </w:rPr>
      </w:pPr>
      <w:bookmarkStart w:id="158" w:name="_Toc137568440"/>
      <w:bookmarkStart w:id="159" w:name="_Toc32101"/>
      <w:bookmarkStart w:id="160" w:name="_Toc461376783"/>
      <w:r>
        <w:rPr>
          <w:rFonts w:hint="eastAsia"/>
          <w:highlight w:val="none"/>
        </w:rPr>
        <w:t>检验结果的判定</w:t>
      </w:r>
      <w:bookmarkEnd w:id="158"/>
      <w:bookmarkEnd w:id="159"/>
      <w:bookmarkEnd w:id="160"/>
    </w:p>
    <w:p>
      <w:pPr>
        <w:pStyle w:val="240"/>
        <w:numPr>
          <w:ilvl w:val="0"/>
          <w:numId w:val="0"/>
        </w:numPr>
        <w:spacing w:beforeLines="0" w:afterLines="0"/>
        <w:ind w:firstLine="420" w:firstLineChars="200"/>
        <w:outlineLvl w:val="9"/>
        <w:rPr>
          <w:rFonts w:ascii="宋体" w:hAnsi="宋体" w:eastAsia="宋体"/>
          <w:highlight w:val="none"/>
        </w:rPr>
      </w:pPr>
      <w:bookmarkStart w:id="161" w:name="_Toc4725"/>
      <w:bookmarkStart w:id="162" w:name="_Toc461376784"/>
      <w:r>
        <w:rPr>
          <w:rFonts w:hint="eastAsia" w:ascii="宋体" w:hAnsi="宋体" w:eastAsia="宋体"/>
          <w:highlight w:val="none"/>
        </w:rPr>
        <w:t>所有出厂检验项目，当试验结果中有不合格项目时，应从该批产品中另取双倍数量的试样进行重复试验。重复试验结果全部合格时，则判该批产品合格。若重复实验结果仍有不合格项目，则判该批产品不合格。</w:t>
      </w:r>
      <w:bookmarkEnd w:id="161"/>
      <w:bookmarkEnd w:id="162"/>
    </w:p>
    <w:p>
      <w:pPr>
        <w:pStyle w:val="106"/>
        <w:spacing w:before="240" w:after="240"/>
        <w:rPr>
          <w:rFonts w:hint="eastAsia"/>
          <w:highlight w:val="none"/>
        </w:rPr>
      </w:pPr>
      <w:bookmarkStart w:id="163" w:name="_Toc461376786"/>
      <w:bookmarkStart w:id="164" w:name="_Toc1359"/>
      <w:bookmarkStart w:id="165" w:name="_Toc137568441"/>
      <w:r>
        <w:rPr>
          <w:rFonts w:hint="eastAsia"/>
          <w:highlight w:val="none"/>
        </w:rPr>
        <w:t>标志、包装、运输、贮存</w:t>
      </w:r>
      <w:bookmarkEnd w:id="163"/>
      <w:r>
        <w:rPr>
          <w:rFonts w:hint="eastAsia"/>
          <w:highlight w:val="none"/>
        </w:rPr>
        <w:t>、质量证明书</w:t>
      </w:r>
      <w:bookmarkEnd w:id="164"/>
      <w:bookmarkEnd w:id="165"/>
    </w:p>
    <w:p>
      <w:pPr>
        <w:pStyle w:val="107"/>
        <w:spacing w:before="120" w:after="120"/>
        <w:rPr>
          <w:highlight w:val="none"/>
        </w:rPr>
      </w:pPr>
      <w:bookmarkStart w:id="166" w:name="_Toc461376787"/>
      <w:bookmarkStart w:id="167" w:name="_Toc12769"/>
      <w:bookmarkStart w:id="168" w:name="_Toc137568442"/>
      <w:r>
        <w:rPr>
          <w:rFonts w:hint="eastAsia"/>
          <w:highlight w:val="none"/>
        </w:rPr>
        <w:t>标志</w:t>
      </w:r>
      <w:bookmarkEnd w:id="166"/>
      <w:bookmarkEnd w:id="167"/>
      <w:bookmarkEnd w:id="168"/>
    </w:p>
    <w:p>
      <w:pPr>
        <w:pStyle w:val="233"/>
        <w:rPr>
          <w:highlight w:val="none"/>
        </w:rPr>
      </w:pPr>
      <w:r>
        <w:rPr>
          <w:rFonts w:hint="eastAsia"/>
          <w:highlight w:val="none"/>
        </w:rPr>
        <w:t>产品标识至少应包含以下信息：</w:t>
      </w:r>
    </w:p>
    <w:p>
      <w:pPr>
        <w:pStyle w:val="176"/>
        <w:numPr>
          <w:ilvl w:val="0"/>
          <w:numId w:val="35"/>
        </w:numPr>
        <w:rPr>
          <w:rFonts w:hint="eastAsia"/>
          <w:highlight w:val="none"/>
        </w:rPr>
      </w:pPr>
      <w:r>
        <w:rPr>
          <w:rFonts w:hint="eastAsia"/>
          <w:highlight w:val="none"/>
        </w:rPr>
        <w:t>制造商名称；</w:t>
      </w:r>
    </w:p>
    <w:p>
      <w:pPr>
        <w:pStyle w:val="176"/>
        <w:numPr>
          <w:ilvl w:val="0"/>
          <w:numId w:val="35"/>
        </w:numPr>
        <w:rPr>
          <w:rFonts w:hint="eastAsia"/>
          <w:highlight w:val="none"/>
        </w:rPr>
      </w:pPr>
      <w:r>
        <w:rPr>
          <w:rFonts w:hint="eastAsia"/>
          <w:highlight w:val="none"/>
        </w:rPr>
        <w:t>产品名称；</w:t>
      </w:r>
    </w:p>
    <w:p>
      <w:pPr>
        <w:pStyle w:val="176"/>
        <w:numPr>
          <w:ilvl w:val="0"/>
          <w:numId w:val="35"/>
        </w:numPr>
        <w:rPr>
          <w:rFonts w:hint="eastAsia"/>
          <w:highlight w:val="none"/>
        </w:rPr>
      </w:pPr>
      <w:r>
        <w:rPr>
          <w:rFonts w:hint="eastAsia"/>
          <w:highlight w:val="none"/>
        </w:rPr>
        <w:t>产品牌号；</w:t>
      </w:r>
    </w:p>
    <w:p>
      <w:pPr>
        <w:pStyle w:val="176"/>
        <w:numPr>
          <w:ilvl w:val="0"/>
          <w:numId w:val="35"/>
        </w:numPr>
        <w:rPr>
          <w:rFonts w:hint="eastAsia"/>
          <w:highlight w:val="none"/>
        </w:rPr>
      </w:pPr>
      <w:r>
        <w:rPr>
          <w:rFonts w:hint="eastAsia"/>
          <w:highlight w:val="none"/>
        </w:rPr>
        <w:t>批号；</w:t>
      </w:r>
    </w:p>
    <w:p>
      <w:pPr>
        <w:pStyle w:val="176"/>
        <w:numPr>
          <w:ilvl w:val="0"/>
          <w:numId w:val="35"/>
        </w:numPr>
        <w:rPr>
          <w:rFonts w:hint="eastAsia"/>
          <w:highlight w:val="none"/>
        </w:rPr>
      </w:pPr>
      <w:r>
        <w:rPr>
          <w:rFonts w:hint="eastAsia"/>
          <w:highlight w:val="none"/>
        </w:rPr>
        <w:t>产品净重量；</w:t>
      </w:r>
    </w:p>
    <w:p>
      <w:pPr>
        <w:pStyle w:val="176"/>
        <w:numPr>
          <w:ilvl w:val="0"/>
          <w:numId w:val="35"/>
        </w:numPr>
        <w:rPr>
          <w:rFonts w:hint="eastAsia"/>
          <w:highlight w:val="none"/>
        </w:rPr>
      </w:pPr>
      <w:r>
        <w:rPr>
          <w:rFonts w:hint="eastAsia"/>
          <w:highlight w:val="none"/>
        </w:rPr>
        <w:t>保质期；</w:t>
      </w:r>
    </w:p>
    <w:p>
      <w:pPr>
        <w:pStyle w:val="176"/>
        <w:numPr>
          <w:ilvl w:val="0"/>
          <w:numId w:val="35"/>
        </w:numPr>
        <w:rPr>
          <w:rFonts w:hint="eastAsia"/>
          <w:highlight w:val="none"/>
        </w:rPr>
      </w:pPr>
      <w:r>
        <w:rPr>
          <w:rFonts w:hint="eastAsia"/>
          <w:highlight w:val="none"/>
        </w:rPr>
        <w:t>生产日期；</w:t>
      </w:r>
    </w:p>
    <w:p>
      <w:pPr>
        <w:pStyle w:val="176"/>
        <w:numPr>
          <w:ilvl w:val="0"/>
          <w:numId w:val="35"/>
        </w:numPr>
        <w:rPr>
          <w:rFonts w:hint="eastAsia"/>
          <w:highlight w:val="none"/>
        </w:rPr>
      </w:pPr>
      <w:r>
        <w:rPr>
          <w:rFonts w:hint="eastAsia"/>
          <w:highlight w:val="none"/>
        </w:rPr>
        <w:t>储存条件（温度）</w:t>
      </w:r>
    </w:p>
    <w:p>
      <w:pPr>
        <w:pStyle w:val="176"/>
        <w:numPr>
          <w:ilvl w:val="0"/>
          <w:numId w:val="35"/>
        </w:numPr>
        <w:rPr>
          <w:highlight w:val="none"/>
        </w:rPr>
      </w:pPr>
      <w:r>
        <w:rPr>
          <w:rFonts w:hint="eastAsia"/>
          <w:highlight w:val="none"/>
        </w:rPr>
        <w:t>安全相关提示信息。</w:t>
      </w:r>
    </w:p>
    <w:p>
      <w:pPr>
        <w:pStyle w:val="107"/>
        <w:spacing w:before="120" w:after="120"/>
        <w:rPr>
          <w:highlight w:val="none"/>
        </w:rPr>
      </w:pPr>
      <w:bookmarkStart w:id="169" w:name="_Toc12907"/>
      <w:bookmarkStart w:id="170" w:name="_Toc137568443"/>
      <w:bookmarkStart w:id="171" w:name="_Toc461376788"/>
      <w:r>
        <w:rPr>
          <w:rFonts w:hint="eastAsia"/>
          <w:highlight w:val="none"/>
        </w:rPr>
        <w:t>包装</w:t>
      </w:r>
      <w:bookmarkEnd w:id="169"/>
      <w:bookmarkEnd w:id="170"/>
      <w:bookmarkEnd w:id="171"/>
    </w:p>
    <w:p>
      <w:pPr>
        <w:pStyle w:val="240"/>
        <w:numPr>
          <w:ilvl w:val="0"/>
          <w:numId w:val="0"/>
        </w:numPr>
        <w:spacing w:beforeLines="0" w:afterLines="0"/>
        <w:ind w:firstLine="420" w:firstLineChars="200"/>
        <w:outlineLvl w:val="9"/>
        <w:rPr>
          <w:rFonts w:ascii="宋体" w:hAnsi="宋体" w:eastAsia="宋体"/>
          <w:highlight w:val="none"/>
        </w:rPr>
      </w:pPr>
      <w:bookmarkStart w:id="172" w:name="_Toc461376789"/>
      <w:bookmarkStart w:id="173" w:name="_Toc3729"/>
      <w:r>
        <w:rPr>
          <w:rFonts w:hint="eastAsia" w:ascii="宋体" w:hAnsi="宋体" w:eastAsia="宋体"/>
          <w:highlight w:val="none"/>
        </w:rPr>
        <w:t>产品应密封分装，包装物应耐腐蚀、不易破损，并加封条。</w:t>
      </w:r>
      <w:bookmarkEnd w:id="172"/>
      <w:bookmarkEnd w:id="173"/>
    </w:p>
    <w:p>
      <w:pPr>
        <w:pStyle w:val="107"/>
        <w:spacing w:before="120" w:after="120"/>
        <w:rPr>
          <w:rFonts w:ascii="宋体" w:hAnsi="宋体" w:eastAsia="宋体"/>
          <w:highlight w:val="none"/>
        </w:rPr>
      </w:pPr>
      <w:bookmarkStart w:id="174" w:name="_Toc137568444"/>
      <w:bookmarkStart w:id="175" w:name="_Toc3706"/>
      <w:bookmarkStart w:id="176" w:name="_Toc461376790"/>
      <w:r>
        <w:rPr>
          <w:rFonts w:hint="eastAsia"/>
          <w:highlight w:val="none"/>
        </w:rPr>
        <w:t>运输</w:t>
      </w:r>
      <w:bookmarkEnd w:id="174"/>
      <w:bookmarkEnd w:id="175"/>
    </w:p>
    <w:p>
      <w:pPr>
        <w:pStyle w:val="240"/>
        <w:numPr>
          <w:ilvl w:val="0"/>
          <w:numId w:val="0"/>
        </w:numPr>
        <w:spacing w:beforeLines="0" w:afterLines="0"/>
        <w:ind w:firstLine="420" w:firstLineChars="200"/>
        <w:outlineLvl w:val="9"/>
        <w:rPr>
          <w:rFonts w:ascii="宋体" w:hAnsi="宋体" w:eastAsia="宋体"/>
          <w:highlight w:val="none"/>
        </w:rPr>
      </w:pPr>
      <w:bookmarkStart w:id="177" w:name="_Toc798"/>
      <w:r>
        <w:rPr>
          <w:rFonts w:hint="eastAsia" w:ascii="宋体" w:hAnsi="宋体" w:eastAsia="宋体"/>
          <w:highlight w:val="none"/>
        </w:rPr>
        <w:t>密封包装好的固化型银浆，运输前应装入结实牢固的包装箱中，包装箱四周应充填安全物质。包装箱中应放入干冰或冰袋，保证运输过程中浆料温度较低。产品运输过程中应避免污染和机械破损，避免温度过高，避免阳光直接照射。</w:t>
      </w:r>
      <w:bookmarkEnd w:id="176"/>
      <w:bookmarkEnd w:id="177"/>
    </w:p>
    <w:p>
      <w:pPr>
        <w:pStyle w:val="107"/>
        <w:spacing w:before="120" w:after="120"/>
        <w:rPr>
          <w:rFonts w:ascii="宋体" w:hAnsi="宋体" w:eastAsia="宋体"/>
          <w:highlight w:val="none"/>
        </w:rPr>
      </w:pPr>
      <w:bookmarkStart w:id="178" w:name="_Toc20474"/>
      <w:bookmarkStart w:id="179" w:name="_Toc137568445"/>
      <w:bookmarkStart w:id="180" w:name="_Toc461376791"/>
      <w:r>
        <w:rPr>
          <w:rFonts w:hint="eastAsia"/>
          <w:highlight w:val="none"/>
        </w:rPr>
        <w:t>贮存</w:t>
      </w:r>
      <w:bookmarkEnd w:id="178"/>
      <w:bookmarkEnd w:id="179"/>
    </w:p>
    <w:p>
      <w:pPr>
        <w:pStyle w:val="240"/>
        <w:numPr>
          <w:ilvl w:val="0"/>
          <w:numId w:val="0"/>
        </w:numPr>
        <w:spacing w:beforeLines="0" w:afterLines="0"/>
        <w:ind w:firstLine="420" w:firstLineChars="200"/>
        <w:outlineLvl w:val="9"/>
        <w:rPr>
          <w:rFonts w:ascii="宋体" w:hAnsi="宋体" w:eastAsia="宋体"/>
          <w:highlight w:val="none"/>
        </w:rPr>
      </w:pPr>
      <w:bookmarkStart w:id="181" w:name="_Toc30737"/>
      <w:r>
        <w:rPr>
          <w:rFonts w:hint="eastAsia" w:ascii="宋体" w:hAnsi="宋体" w:eastAsia="宋体"/>
          <w:highlight w:val="none"/>
        </w:rPr>
        <w:t>产品应在-</w:t>
      </w:r>
      <w:r>
        <w:rPr>
          <w:rFonts w:hint="eastAsia" w:ascii="宋体" w:hAnsi="宋体" w:eastAsia="宋体"/>
          <w:highlight w:val="none"/>
          <w:lang w:val="en-US" w:eastAsia="zh-CN"/>
        </w:rPr>
        <w:t>30</w:t>
      </w:r>
      <w:r>
        <w:rPr>
          <w:rFonts w:hint="eastAsia" w:ascii="宋体" w:hAnsi="宋体" w:eastAsia="宋体"/>
          <w:highlight w:val="none"/>
        </w:rPr>
        <w:t>℃～-</w:t>
      </w:r>
      <w:r>
        <w:rPr>
          <w:rFonts w:hint="eastAsia" w:ascii="宋体" w:hAnsi="宋体" w:eastAsia="宋体"/>
          <w:highlight w:val="none"/>
          <w:lang w:val="en-US" w:eastAsia="zh-CN"/>
        </w:rPr>
        <w:t>5</w:t>
      </w:r>
      <w:r>
        <w:rPr>
          <w:rFonts w:hint="eastAsia" w:ascii="宋体" w:hAnsi="宋体" w:eastAsia="宋体"/>
          <w:highlight w:val="none"/>
        </w:rPr>
        <w:t>℃、相对湿度不高于70%的环境条件下密封储存，避免强光直射。自生产之日起有效储存期为6 个月。打开密封包装后，产品应尽快使用（建议24 h 内用完），应存放于温度-</w:t>
      </w:r>
      <w:r>
        <w:rPr>
          <w:rFonts w:hint="eastAsia" w:ascii="宋体" w:hAnsi="宋体" w:eastAsia="宋体"/>
          <w:highlight w:val="none"/>
          <w:lang w:val="en-US" w:eastAsia="zh-CN"/>
        </w:rPr>
        <w:t>30</w:t>
      </w:r>
      <w:r>
        <w:rPr>
          <w:rFonts w:hint="eastAsia" w:ascii="宋体" w:hAnsi="宋体" w:eastAsia="宋体"/>
          <w:highlight w:val="none"/>
        </w:rPr>
        <w:t>℃～-</w:t>
      </w:r>
      <w:r>
        <w:rPr>
          <w:rFonts w:hint="eastAsia" w:ascii="宋体" w:hAnsi="宋体" w:eastAsia="宋体"/>
          <w:highlight w:val="none"/>
          <w:lang w:val="en-US" w:eastAsia="zh-CN"/>
        </w:rPr>
        <w:t>5</w:t>
      </w:r>
      <w:r>
        <w:rPr>
          <w:rFonts w:hint="eastAsia" w:ascii="宋体" w:hAnsi="宋体" w:eastAsia="宋体"/>
          <w:highlight w:val="none"/>
        </w:rPr>
        <w:t>℃的环境条件下。</w:t>
      </w:r>
      <w:bookmarkEnd w:id="180"/>
      <w:bookmarkEnd w:id="181"/>
    </w:p>
    <w:p>
      <w:pPr>
        <w:pStyle w:val="107"/>
        <w:spacing w:before="120" w:after="120"/>
        <w:rPr>
          <w:highlight w:val="none"/>
        </w:rPr>
      </w:pPr>
      <w:bookmarkStart w:id="182" w:name="_Toc137568446"/>
      <w:bookmarkStart w:id="183" w:name="_Toc32356"/>
      <w:bookmarkStart w:id="184" w:name="_Toc461376792"/>
      <w:r>
        <w:rPr>
          <w:rFonts w:hint="eastAsia"/>
          <w:highlight w:val="none"/>
        </w:rPr>
        <w:t>质量证明书</w:t>
      </w:r>
      <w:bookmarkEnd w:id="182"/>
      <w:bookmarkEnd w:id="183"/>
      <w:bookmarkEnd w:id="184"/>
    </w:p>
    <w:p>
      <w:pPr>
        <w:pStyle w:val="233"/>
        <w:rPr>
          <w:highlight w:val="none"/>
        </w:rPr>
      </w:pPr>
      <w:r>
        <w:rPr>
          <w:rFonts w:hint="eastAsia"/>
          <w:highlight w:val="none"/>
        </w:rPr>
        <w:t>每批产品应附有质量证明书，至少应包含以下内容：</w:t>
      </w:r>
    </w:p>
    <w:p>
      <w:pPr>
        <w:pStyle w:val="176"/>
        <w:numPr>
          <w:ilvl w:val="0"/>
          <w:numId w:val="36"/>
        </w:numPr>
        <w:rPr>
          <w:rFonts w:hint="eastAsia"/>
          <w:highlight w:val="none"/>
        </w:rPr>
      </w:pPr>
      <w:r>
        <w:rPr>
          <w:rFonts w:hint="eastAsia"/>
          <w:highlight w:val="none"/>
        </w:rPr>
        <w:t>制造商名称、地址、电话、传真；</w:t>
      </w:r>
    </w:p>
    <w:p>
      <w:pPr>
        <w:pStyle w:val="176"/>
        <w:numPr>
          <w:ilvl w:val="0"/>
          <w:numId w:val="36"/>
        </w:numPr>
        <w:rPr>
          <w:rFonts w:hint="eastAsia"/>
          <w:highlight w:val="none"/>
        </w:rPr>
      </w:pPr>
      <w:r>
        <w:rPr>
          <w:rFonts w:hint="eastAsia"/>
          <w:highlight w:val="none"/>
        </w:rPr>
        <w:t>产品名称；</w:t>
      </w:r>
    </w:p>
    <w:p>
      <w:pPr>
        <w:pStyle w:val="176"/>
        <w:numPr>
          <w:ilvl w:val="0"/>
          <w:numId w:val="36"/>
        </w:numPr>
        <w:rPr>
          <w:rFonts w:hint="eastAsia"/>
          <w:highlight w:val="none"/>
        </w:rPr>
      </w:pPr>
      <w:r>
        <w:rPr>
          <w:rFonts w:hint="eastAsia"/>
          <w:highlight w:val="none"/>
        </w:rPr>
        <w:t>产品牌号；</w:t>
      </w:r>
    </w:p>
    <w:p>
      <w:pPr>
        <w:pStyle w:val="176"/>
        <w:numPr>
          <w:ilvl w:val="0"/>
          <w:numId w:val="36"/>
        </w:numPr>
        <w:rPr>
          <w:rFonts w:hint="eastAsia"/>
          <w:highlight w:val="none"/>
        </w:rPr>
      </w:pPr>
      <w:r>
        <w:rPr>
          <w:rFonts w:hint="eastAsia"/>
          <w:highlight w:val="none"/>
        </w:rPr>
        <w:t>批号；</w:t>
      </w:r>
    </w:p>
    <w:p>
      <w:pPr>
        <w:pStyle w:val="176"/>
        <w:numPr>
          <w:ilvl w:val="0"/>
          <w:numId w:val="36"/>
        </w:numPr>
        <w:rPr>
          <w:rFonts w:hint="eastAsia"/>
          <w:highlight w:val="none"/>
        </w:rPr>
      </w:pPr>
      <w:r>
        <w:rPr>
          <w:rFonts w:hint="eastAsia"/>
          <w:highlight w:val="none"/>
        </w:rPr>
        <w:t>产品净重量；</w:t>
      </w:r>
    </w:p>
    <w:p>
      <w:pPr>
        <w:pStyle w:val="176"/>
        <w:numPr>
          <w:ilvl w:val="0"/>
          <w:numId w:val="36"/>
        </w:numPr>
        <w:rPr>
          <w:rFonts w:hint="eastAsia"/>
          <w:highlight w:val="none"/>
        </w:rPr>
      </w:pPr>
      <w:r>
        <w:rPr>
          <w:rFonts w:hint="eastAsia"/>
          <w:highlight w:val="none"/>
        </w:rPr>
        <w:t>生产日期；</w:t>
      </w:r>
    </w:p>
    <w:p>
      <w:pPr>
        <w:pStyle w:val="176"/>
        <w:numPr>
          <w:ilvl w:val="0"/>
          <w:numId w:val="36"/>
        </w:numPr>
        <w:rPr>
          <w:rFonts w:hint="eastAsia"/>
          <w:highlight w:val="none"/>
        </w:rPr>
      </w:pPr>
      <w:r>
        <w:rPr>
          <w:rFonts w:hint="eastAsia"/>
          <w:highlight w:val="none"/>
        </w:rPr>
        <w:t>保质期；</w:t>
      </w:r>
    </w:p>
    <w:p>
      <w:pPr>
        <w:pStyle w:val="176"/>
        <w:numPr>
          <w:ilvl w:val="0"/>
          <w:numId w:val="36"/>
        </w:numPr>
        <w:rPr>
          <w:rFonts w:hint="eastAsia"/>
          <w:highlight w:val="none"/>
        </w:rPr>
      </w:pPr>
      <w:r>
        <w:rPr>
          <w:rFonts w:hint="eastAsia"/>
          <w:highlight w:val="none"/>
        </w:rPr>
        <w:t>各项分析检验结果和技术监督部门印记；</w:t>
      </w:r>
    </w:p>
    <w:p>
      <w:pPr>
        <w:pStyle w:val="176"/>
        <w:numPr>
          <w:ilvl w:val="0"/>
          <w:numId w:val="36"/>
        </w:numPr>
        <w:rPr>
          <w:highlight w:val="none"/>
        </w:rPr>
      </w:pPr>
      <w:r>
        <w:rPr>
          <w:rFonts w:hint="eastAsia"/>
          <w:highlight w:val="none"/>
        </w:rPr>
        <w:t>标准编号。</w:t>
      </w:r>
    </w:p>
    <w:p>
      <w:pPr>
        <w:pStyle w:val="58"/>
        <w:rPr>
          <w:rFonts w:hint="eastAsia"/>
          <w:highlight w:val="none"/>
        </w:rPr>
      </w:pPr>
    </w:p>
    <w:p>
      <w:pPr>
        <w:pStyle w:val="155"/>
        <w:numPr>
          <w:ilvl w:val="4"/>
          <w:numId w:val="0"/>
        </w:numPr>
        <w:bidi w:val="0"/>
        <w:ind w:leftChars="0"/>
        <w:rPr>
          <w:highlight w:val="none"/>
        </w:rPr>
      </w:pPr>
    </w:p>
    <w:p>
      <w:pPr>
        <w:pStyle w:val="176"/>
        <w:numPr>
          <w:ilvl w:val="0"/>
          <w:numId w:val="0"/>
        </w:numPr>
        <w:rPr>
          <w:highlight w:val="none"/>
        </w:rPr>
      </w:pPr>
    </w:p>
    <w:p>
      <w:pPr>
        <w:pStyle w:val="176"/>
        <w:numPr>
          <w:ilvl w:val="0"/>
          <w:numId w:val="0"/>
        </w:numPr>
        <w:rPr>
          <w:highlight w:val="none"/>
        </w:rPr>
        <w:sectPr>
          <w:headerReference r:id="rId17" w:type="default"/>
          <w:footerReference r:id="rId19" w:type="default"/>
          <w:headerReference r:id="rId18" w:type="even"/>
          <w:footerReference r:id="rId20" w:type="even"/>
          <w:pgSz w:w="11906" w:h="16838"/>
          <w:pgMar w:top="567" w:right="1134" w:bottom="1134" w:left="1134" w:header="1418" w:footer="1134" w:gutter="284"/>
          <w:pgNumType w:start="1"/>
          <w:cols w:space="425" w:num="1"/>
          <w:formProt w:val="0"/>
          <w:docGrid w:linePitch="312" w:charSpace="0"/>
        </w:sectPr>
      </w:pPr>
    </w:p>
    <w:bookmarkEnd w:id="24"/>
    <w:p>
      <w:pPr>
        <w:pStyle w:val="78"/>
        <w:keepNext w:val="0"/>
        <w:keepLines w:val="0"/>
        <w:pageBreakBefore w:val="0"/>
        <w:widowControl/>
        <w:shd w:val="clear" w:color="FFFFFF" w:fill="FFFFFF"/>
        <w:kinsoku/>
        <w:wordWrap/>
        <w:overflowPunct/>
        <w:topLinePunct w:val="0"/>
        <w:autoSpaceDE/>
        <w:autoSpaceDN/>
        <w:bidi w:val="0"/>
        <w:adjustRightInd/>
        <w:snapToGrid/>
        <w:spacing w:before="567" w:beforeLines="0" w:after="283" w:afterLines="0"/>
        <w:textAlignment w:val="auto"/>
        <w:rPr>
          <w:rFonts w:ascii="黑体" w:hAnsi="黑体" w:eastAsia="黑体"/>
          <w:kern w:val="0"/>
          <w:szCs w:val="20"/>
          <w:highlight w:val="none"/>
        </w:rPr>
      </w:pPr>
      <w:bookmarkStart w:id="185" w:name="_Toc32403"/>
      <w:bookmarkStart w:id="186" w:name="BookMark5"/>
      <w:r>
        <w:rPr>
          <w:highlight w:val="none"/>
        </w:rPr>
        <w:br w:type="textWrapping"/>
      </w:r>
      <w:r>
        <w:rPr>
          <w:rFonts w:hint="eastAsia" w:ascii="宋体"/>
          <w:kern w:val="0"/>
          <w:szCs w:val="20"/>
          <w:highlight w:val="none"/>
        </w:rPr>
        <w:t>（</w:t>
      </w:r>
      <w:r>
        <w:rPr>
          <w:rFonts w:hint="eastAsia" w:ascii="黑体" w:hAnsi="黑体" w:eastAsia="黑体"/>
          <w:kern w:val="0"/>
          <w:szCs w:val="20"/>
          <w:highlight w:val="none"/>
        </w:rPr>
        <w:t>规范性）</w:t>
      </w:r>
      <w:r>
        <w:rPr>
          <w:rFonts w:hint="eastAsia" w:ascii="黑体" w:hAnsi="黑体" w:eastAsia="黑体"/>
          <w:kern w:val="0"/>
          <w:szCs w:val="20"/>
          <w:highlight w:val="none"/>
        </w:rPr>
        <w:br w:type="textWrapping"/>
      </w:r>
      <w:r>
        <w:rPr>
          <w:rFonts w:hint="eastAsia" w:ascii="黑体" w:hAnsi="黑体" w:eastAsia="黑体"/>
          <w:kern w:val="0"/>
          <w:szCs w:val="20"/>
          <w:highlight w:val="none"/>
        </w:rPr>
        <w:t>体积电阻率测试</w:t>
      </w:r>
      <w:bookmarkEnd w:id="185"/>
    </w:p>
    <w:p>
      <w:pPr>
        <w:pStyle w:val="80"/>
        <w:spacing w:before="120" w:after="120"/>
        <w:rPr>
          <w:rFonts w:ascii="黑体" w:hAnsi="黑体" w:eastAsia="黑体"/>
          <w:kern w:val="0"/>
          <w:szCs w:val="20"/>
          <w:highlight w:val="none"/>
        </w:rPr>
      </w:pPr>
      <w:bookmarkStart w:id="187" w:name="_Toc28460"/>
      <w:r>
        <w:rPr>
          <w:rFonts w:hint="eastAsia" w:ascii="黑体" w:hAnsi="黑体" w:eastAsia="黑体"/>
          <w:kern w:val="0"/>
          <w:szCs w:val="20"/>
          <w:highlight w:val="none"/>
        </w:rPr>
        <w:t>范围</w:t>
      </w:r>
      <w:bookmarkEnd w:id="187"/>
    </w:p>
    <w:p>
      <w:pPr>
        <w:widowControl/>
        <w:tabs>
          <w:tab w:val="center" w:pos="4201"/>
          <w:tab w:val="right" w:leader="dot" w:pos="9298"/>
        </w:tabs>
        <w:autoSpaceDE w:val="0"/>
        <w:autoSpaceDN w:val="0"/>
        <w:adjustRightInd/>
        <w:spacing w:line="240" w:lineRule="auto"/>
        <w:rPr>
          <w:rFonts w:ascii="宋体" w:hAnsi="宋体" w:cs="宋体"/>
          <w:kern w:val="0"/>
          <w:szCs w:val="20"/>
          <w:highlight w:val="none"/>
        </w:rPr>
      </w:pPr>
      <w:r>
        <w:rPr>
          <w:rFonts w:hint="eastAsia" w:ascii="宋体" w:hAnsi="宋体" w:cs="宋体"/>
          <w:kern w:val="0"/>
          <w:szCs w:val="20"/>
          <w:highlight w:val="none"/>
        </w:rPr>
        <w:t>本附录规定了晶体硅光伏电池用固化型银浆体积电阻率的测试方法。</w:t>
      </w:r>
    </w:p>
    <w:p>
      <w:pPr>
        <w:widowControl/>
        <w:tabs>
          <w:tab w:val="center" w:pos="4201"/>
          <w:tab w:val="right" w:leader="dot" w:pos="9298"/>
        </w:tabs>
        <w:autoSpaceDE w:val="0"/>
        <w:autoSpaceDN w:val="0"/>
        <w:adjustRightInd/>
        <w:spacing w:line="240" w:lineRule="auto"/>
        <w:rPr>
          <w:rFonts w:ascii="宋体" w:hAnsi="宋体" w:cs="宋体"/>
          <w:kern w:val="0"/>
          <w:szCs w:val="20"/>
          <w:highlight w:val="none"/>
        </w:rPr>
      </w:pPr>
      <w:r>
        <w:rPr>
          <w:rFonts w:hint="eastAsia" w:ascii="宋体" w:hAnsi="宋体" w:cs="宋体"/>
          <w:kern w:val="0"/>
          <w:szCs w:val="20"/>
          <w:highlight w:val="none"/>
        </w:rPr>
        <w:t>本附录适用于晶体硅光伏电池用固化型银浆体积电阻率的测定。</w:t>
      </w:r>
    </w:p>
    <w:p>
      <w:pPr>
        <w:widowControl/>
        <w:tabs>
          <w:tab w:val="center" w:pos="4201"/>
          <w:tab w:val="right" w:leader="dot" w:pos="9298"/>
        </w:tabs>
        <w:autoSpaceDE w:val="0"/>
        <w:autoSpaceDN w:val="0"/>
        <w:adjustRightInd/>
        <w:spacing w:line="240" w:lineRule="auto"/>
        <w:rPr>
          <w:rFonts w:ascii="宋体" w:hAnsi="宋体" w:cs="宋体"/>
          <w:kern w:val="0"/>
          <w:szCs w:val="20"/>
          <w:highlight w:val="none"/>
        </w:rPr>
      </w:pPr>
    </w:p>
    <w:p>
      <w:pPr>
        <w:pStyle w:val="80"/>
        <w:spacing w:before="120" w:after="120"/>
        <w:rPr>
          <w:rFonts w:hint="eastAsia" w:ascii="黑体" w:hAnsi="黑体" w:eastAsia="黑体"/>
          <w:kern w:val="0"/>
          <w:szCs w:val="20"/>
          <w:highlight w:val="none"/>
        </w:rPr>
      </w:pPr>
      <w:bookmarkStart w:id="188" w:name="_Toc20384"/>
      <w:r>
        <w:rPr>
          <w:rFonts w:hint="eastAsia" w:ascii="黑体" w:hAnsi="黑体" w:eastAsia="黑体"/>
          <w:kern w:val="0"/>
          <w:szCs w:val="20"/>
          <w:highlight w:val="none"/>
        </w:rPr>
        <w:t>仪器与设备</w:t>
      </w:r>
      <w:bookmarkEnd w:id="188"/>
    </w:p>
    <w:p>
      <w:pPr>
        <w:adjustRightInd/>
        <w:spacing w:line="240" w:lineRule="auto"/>
        <w:ind w:firstLine="420" w:firstLineChars="200"/>
        <w:rPr>
          <w:rFonts w:ascii="宋体"/>
          <w:szCs w:val="24"/>
          <w:highlight w:val="none"/>
        </w:rPr>
      </w:pPr>
      <w:r>
        <w:rPr>
          <w:rFonts w:hint="eastAsia" w:ascii="宋体"/>
          <w:szCs w:val="24"/>
          <w:highlight w:val="none"/>
        </w:rPr>
        <w:t>所需仪器与设备如下：</w:t>
      </w:r>
    </w:p>
    <w:p>
      <w:pPr>
        <w:pStyle w:val="176"/>
        <w:numPr>
          <w:ilvl w:val="0"/>
          <w:numId w:val="37"/>
        </w:numPr>
        <w:rPr>
          <w:rFonts w:hint="eastAsia"/>
          <w:highlight w:val="none"/>
        </w:rPr>
      </w:pPr>
      <w:r>
        <w:rPr>
          <w:rFonts w:hint="eastAsia"/>
          <w:highlight w:val="none"/>
        </w:rPr>
        <w:t>定制印刷网版</w:t>
      </w:r>
      <w:r>
        <w:rPr>
          <w:rFonts w:hint="eastAsia"/>
          <w:highlight w:val="none"/>
          <w:lang w:eastAsia="zh-CN"/>
        </w:rPr>
        <w:t>；</w:t>
      </w:r>
    </w:p>
    <w:p>
      <w:pPr>
        <w:pStyle w:val="176"/>
        <w:numPr>
          <w:ilvl w:val="0"/>
          <w:numId w:val="37"/>
        </w:numPr>
        <w:rPr>
          <w:rFonts w:hint="eastAsia"/>
          <w:highlight w:val="none"/>
        </w:rPr>
      </w:pPr>
      <w:r>
        <w:rPr>
          <w:rFonts w:hint="eastAsia"/>
          <w:highlight w:val="none"/>
          <w:lang w:val="en-US" w:eastAsia="zh-CN"/>
        </w:rPr>
        <w:t>数显万用表（电阻测试范围：100μ</w:t>
      </w:r>
      <w:r>
        <w:rPr>
          <w:highlight w:val="none"/>
        </w:rPr>
        <w:t>Ω</w:t>
      </w:r>
      <w:r>
        <w:rPr>
          <w:rFonts w:hint="eastAsia" w:ascii="微软雅黑" w:hAnsi="微软雅黑" w:eastAsia="微软雅黑" w:cs="微软雅黑"/>
          <w:highlight w:val="none"/>
          <w:lang w:val="en-US" w:eastAsia="zh-CN"/>
        </w:rPr>
        <w:t>-</w:t>
      </w:r>
      <w:r>
        <w:rPr>
          <w:rFonts w:hint="eastAsia"/>
          <w:highlight w:val="none"/>
          <w:lang w:val="en-US" w:eastAsia="zh-CN"/>
        </w:rPr>
        <w:t>120</w:t>
      </w:r>
      <w:r>
        <w:rPr>
          <w:rFonts w:hint="eastAsia" w:ascii="微软雅黑" w:hAnsi="微软雅黑" w:eastAsia="微软雅黑" w:cs="微软雅黑"/>
          <w:highlight w:val="none"/>
          <w:lang w:val="en-US" w:eastAsia="zh-CN"/>
        </w:rPr>
        <w:t>㏁</w:t>
      </w:r>
      <w:r>
        <w:rPr>
          <w:rFonts w:hint="eastAsia"/>
          <w:highlight w:val="none"/>
          <w:lang w:val="en-US" w:eastAsia="zh-CN"/>
        </w:rPr>
        <w:t>）</w:t>
      </w:r>
      <w:r>
        <w:rPr>
          <w:rFonts w:hint="eastAsia"/>
          <w:highlight w:val="none"/>
          <w:lang w:eastAsia="zh-CN"/>
        </w:rPr>
        <w:t>；</w:t>
      </w:r>
    </w:p>
    <w:p>
      <w:pPr>
        <w:pStyle w:val="176"/>
        <w:numPr>
          <w:ilvl w:val="0"/>
          <w:numId w:val="37"/>
        </w:numPr>
        <w:rPr>
          <w:rFonts w:hint="eastAsia"/>
          <w:highlight w:val="none"/>
        </w:rPr>
      </w:pPr>
      <w:r>
        <w:rPr>
          <w:rFonts w:hint="eastAsia"/>
          <w:highlight w:val="none"/>
        </w:rPr>
        <w:t>隧道烧结炉</w:t>
      </w:r>
      <w:r>
        <w:rPr>
          <w:rFonts w:hint="eastAsia"/>
          <w:highlight w:val="none"/>
          <w:lang w:eastAsia="zh-CN"/>
        </w:rPr>
        <w:t>。</w:t>
      </w:r>
    </w:p>
    <w:p>
      <w:pPr>
        <w:pStyle w:val="80"/>
        <w:spacing w:before="120" w:after="120"/>
        <w:rPr>
          <w:rFonts w:ascii="黑体" w:hAnsi="黑体" w:eastAsia="黑体"/>
          <w:kern w:val="0"/>
          <w:szCs w:val="20"/>
          <w:highlight w:val="none"/>
        </w:rPr>
      </w:pPr>
      <w:bookmarkStart w:id="189" w:name="_Toc18040"/>
      <w:r>
        <w:rPr>
          <w:rFonts w:hint="eastAsia" w:ascii="黑体" w:hAnsi="黑体" w:eastAsia="黑体"/>
          <w:kern w:val="0"/>
          <w:szCs w:val="20"/>
          <w:highlight w:val="none"/>
        </w:rPr>
        <w:t>材料</w:t>
      </w:r>
      <w:bookmarkEnd w:id="189"/>
    </w:p>
    <w:p>
      <w:pPr>
        <w:adjustRightInd/>
        <w:spacing w:line="240" w:lineRule="auto"/>
        <w:ind w:firstLine="420" w:firstLineChars="200"/>
        <w:rPr>
          <w:rFonts w:ascii="宋体"/>
          <w:szCs w:val="24"/>
          <w:highlight w:val="none"/>
        </w:rPr>
      </w:pPr>
      <w:r>
        <w:rPr>
          <w:rFonts w:hint="eastAsia" w:ascii="宋体"/>
          <w:szCs w:val="24"/>
          <w:highlight w:val="none"/>
        </w:rPr>
        <w:t>所需材料如下：</w:t>
      </w:r>
    </w:p>
    <w:p>
      <w:pPr>
        <w:adjustRightInd/>
        <w:spacing w:line="240" w:lineRule="auto"/>
        <w:ind w:left="420" w:leftChars="200"/>
        <w:rPr>
          <w:rFonts w:ascii="宋体"/>
          <w:szCs w:val="24"/>
          <w:highlight w:val="none"/>
        </w:rPr>
      </w:pPr>
      <w:r>
        <w:rPr>
          <w:rFonts w:hint="eastAsia" w:ascii="宋体"/>
          <w:szCs w:val="24"/>
          <w:highlight w:val="none"/>
        </w:rPr>
        <w:t>a) 晶体硅</w:t>
      </w:r>
      <w:r>
        <w:rPr>
          <w:rFonts w:hint="eastAsia" w:ascii="宋体"/>
          <w:szCs w:val="24"/>
          <w:highlight w:val="none"/>
          <w:lang w:val="en-US" w:eastAsia="zh-CN"/>
        </w:rPr>
        <w:t>蓝膜</w:t>
      </w:r>
      <w:r>
        <w:rPr>
          <w:rFonts w:hint="eastAsia" w:ascii="宋体"/>
          <w:szCs w:val="24"/>
          <w:highlight w:val="none"/>
        </w:rPr>
        <w:t>片：未印刷电极。</w:t>
      </w:r>
    </w:p>
    <w:p>
      <w:pPr>
        <w:pStyle w:val="80"/>
        <w:spacing w:before="120" w:after="120"/>
        <w:rPr>
          <w:rFonts w:ascii="黑体" w:hAnsi="黑体" w:eastAsia="黑体"/>
          <w:kern w:val="0"/>
          <w:szCs w:val="20"/>
          <w:highlight w:val="none"/>
        </w:rPr>
      </w:pPr>
      <w:bookmarkStart w:id="190" w:name="_Toc19589"/>
      <w:r>
        <w:rPr>
          <w:rFonts w:hint="eastAsia" w:ascii="黑体" w:hAnsi="黑体" w:eastAsia="黑体"/>
          <w:kern w:val="0"/>
          <w:szCs w:val="20"/>
          <w:highlight w:val="none"/>
        </w:rPr>
        <w:t>试样制备</w:t>
      </w:r>
      <w:bookmarkEnd w:id="190"/>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将待测固化型银浆充分搅拌均匀，使用定制网版手动在晶体硅</w:t>
      </w:r>
      <w:r>
        <w:rPr>
          <w:rFonts w:hint="eastAsia" w:ascii="宋体" w:hAnsi="宋体" w:eastAsia="宋体" w:cs="宋体"/>
          <w:highlight w:val="none"/>
          <w:lang w:val="en-US" w:eastAsia="zh-CN"/>
        </w:rPr>
        <w:t>蓝膜片</w:t>
      </w:r>
      <w:r>
        <w:rPr>
          <w:rFonts w:hint="eastAsia" w:ascii="宋体" w:hAnsi="宋体" w:eastAsia="宋体" w:cs="宋体"/>
          <w:highlight w:val="none"/>
        </w:rPr>
        <w:t>上印刷银浆样条。推荐长度</w:t>
      </w:r>
      <w:r>
        <w:rPr>
          <w:rFonts w:hint="eastAsia" w:ascii="宋体" w:hAnsi="宋体" w:eastAsia="宋体" w:cs="宋体"/>
          <w:highlight w:val="none"/>
          <w:lang w:eastAsia="zh-CN"/>
        </w:rPr>
        <w:t>（</w:t>
      </w:r>
      <w:r>
        <w:rPr>
          <w:rFonts w:hint="eastAsia" w:ascii="宋体" w:hAnsi="宋体" w:eastAsia="宋体" w:cs="宋体"/>
          <w:highlight w:val="none"/>
          <w:lang w:val="en-US" w:eastAsia="zh-CN"/>
        </w:rPr>
        <w:t>3-7）</w:t>
      </w:r>
      <w:r>
        <w:rPr>
          <w:rFonts w:hint="eastAsia" w:ascii="宋体" w:hAnsi="宋体" w:eastAsia="宋体" w:cs="宋体"/>
          <w:highlight w:val="none"/>
        </w:rPr>
        <w:t>cm、宽度（3-7）mm、厚度（</w:t>
      </w:r>
      <w:r>
        <w:rPr>
          <w:rFonts w:hint="eastAsia" w:ascii="宋体" w:hAnsi="宋体" w:eastAsia="宋体" w:cs="宋体"/>
          <w:highlight w:val="none"/>
          <w:lang w:val="en-US" w:eastAsia="zh-CN"/>
        </w:rPr>
        <w:t>3</w:t>
      </w:r>
      <w:r>
        <w:rPr>
          <w:rFonts w:hint="eastAsia" w:ascii="宋体" w:hAnsi="宋体" w:eastAsia="宋体" w:cs="宋体"/>
          <w:highlight w:val="none"/>
        </w:rPr>
        <w:t>0</w:t>
      </w:r>
      <w:r>
        <w:rPr>
          <w:rFonts w:hint="eastAsia" w:ascii="宋体" w:hAnsi="宋体" w:eastAsia="宋体" w:cs="宋体"/>
          <w:highlight w:val="none"/>
          <w:lang w:val="en-US" w:eastAsia="zh-CN"/>
        </w:rPr>
        <w:t>-50</w:t>
      </w:r>
      <w:r>
        <w:rPr>
          <w:rFonts w:hint="eastAsia" w:ascii="宋体" w:hAnsi="宋体" w:eastAsia="宋体" w:cs="宋体"/>
          <w:highlight w:val="none"/>
        </w:rPr>
        <w:t>）</w:t>
      </w:r>
      <w:r>
        <w:rPr>
          <w:rFonts w:hint="eastAsia" w:ascii="微软雅黑" w:hAnsi="微软雅黑" w:eastAsia="微软雅黑" w:cs="微软雅黑"/>
          <w:highlight w:val="none"/>
        </w:rPr>
        <w:t>㎛</w:t>
      </w:r>
      <w:r>
        <w:rPr>
          <w:rFonts w:hint="eastAsia" w:ascii="宋体" w:hAnsi="宋体" w:eastAsia="宋体" w:cs="宋体"/>
          <w:highlight w:val="none"/>
        </w:rPr>
        <w:t>。</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按照制造商提供的工艺条件烘干并经隧道烧结炉低温固化。</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每份样品至少有3个试样, 测试结果可有效读取。</w:t>
      </w:r>
    </w:p>
    <w:p>
      <w:pPr>
        <w:pStyle w:val="80"/>
        <w:spacing w:before="120" w:after="120"/>
        <w:rPr>
          <w:rFonts w:ascii="黑体" w:hAnsi="黑体" w:eastAsia="黑体"/>
          <w:kern w:val="0"/>
          <w:szCs w:val="20"/>
          <w:highlight w:val="none"/>
        </w:rPr>
      </w:pPr>
      <w:bookmarkStart w:id="191" w:name="_Toc8458"/>
      <w:r>
        <w:rPr>
          <w:rFonts w:hint="eastAsia" w:ascii="黑体" w:hAnsi="黑体" w:eastAsia="黑体"/>
          <w:kern w:val="0"/>
          <w:szCs w:val="20"/>
          <w:highlight w:val="none"/>
        </w:rPr>
        <w:t>体积电阻率的测试</w:t>
      </w:r>
      <w:bookmarkEnd w:id="191"/>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用直尺与笔标记待测区间</w:t>
      </w:r>
      <w:r>
        <w:rPr>
          <w:rFonts w:hint="eastAsia" w:ascii="宋体" w:hAnsi="宋体" w:eastAsia="宋体" w:cs="宋体"/>
          <w:highlight w:val="none"/>
          <w:lang w:val="en-US" w:eastAsia="zh-CN"/>
        </w:rPr>
        <w:t>长度L</w:t>
      </w:r>
      <w:r>
        <w:rPr>
          <w:rFonts w:hint="eastAsia" w:ascii="宋体" w:hAnsi="宋体" w:eastAsia="宋体" w:cs="宋体"/>
          <w:highlight w:val="none"/>
        </w:rPr>
        <w:t>，然后使用万用表的两组表头探针</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开尔文/四线法测试</w:t>
      </w:r>
      <w:r>
        <w:rPr>
          <w:rFonts w:hint="eastAsia" w:ascii="宋体" w:hAnsi="宋体" w:eastAsia="宋体" w:cs="宋体"/>
          <w:highlight w:val="none"/>
          <w:lang w:eastAsia="zh-CN"/>
        </w:rPr>
        <w:t>）</w:t>
      </w:r>
      <w:r>
        <w:rPr>
          <w:rFonts w:hint="eastAsia" w:ascii="宋体" w:hAnsi="宋体" w:eastAsia="宋体" w:cs="宋体"/>
          <w:highlight w:val="none"/>
        </w:rPr>
        <w:t>分别搭在标记的头尾浆料处，读出万用表电阻读数记为R。</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测量固化后银浆样条的宽度</w:t>
      </w:r>
      <w:r>
        <w:rPr>
          <w:rFonts w:hint="eastAsia" w:ascii="宋体" w:hAnsi="宋体" w:eastAsia="宋体" w:cs="宋体"/>
          <w:highlight w:val="none"/>
          <w:lang w:val="en-US" w:eastAsia="zh-CN"/>
        </w:rPr>
        <w:t>W</w:t>
      </w:r>
      <w:r>
        <w:rPr>
          <w:rFonts w:hint="eastAsia" w:ascii="宋体" w:hAnsi="宋体" w:eastAsia="宋体" w:cs="宋体"/>
          <w:highlight w:val="none"/>
          <w:lang w:eastAsia="zh-CN"/>
        </w:rPr>
        <w:t>（</w:t>
      </w:r>
      <w:r>
        <w:rPr>
          <w:rFonts w:hint="eastAsia" w:ascii="宋体" w:hAnsi="宋体" w:eastAsia="宋体" w:cs="宋体"/>
          <w:highlight w:val="none"/>
          <w:lang w:val="en-US" w:eastAsia="zh-CN"/>
        </w:rPr>
        <w:t>精确到0.01mm</w:t>
      </w:r>
      <w:r>
        <w:rPr>
          <w:rFonts w:hint="eastAsia" w:ascii="宋体" w:hAnsi="宋体" w:eastAsia="宋体" w:cs="宋体"/>
          <w:highlight w:val="none"/>
          <w:lang w:eastAsia="zh-CN"/>
        </w:rPr>
        <w:t>）</w:t>
      </w:r>
      <w:r>
        <w:rPr>
          <w:rFonts w:hint="eastAsia" w:ascii="宋体" w:hAnsi="宋体" w:eastAsia="宋体" w:cs="宋体"/>
          <w:highlight w:val="none"/>
        </w:rPr>
        <w:t>及厚度h</w:t>
      </w:r>
      <w:r>
        <w:rPr>
          <w:rFonts w:hint="eastAsia" w:ascii="宋体" w:hAnsi="宋体" w:eastAsia="宋体" w:cs="宋体"/>
          <w:highlight w:val="none"/>
          <w:lang w:eastAsia="zh-CN"/>
        </w:rPr>
        <w:t>（</w:t>
      </w:r>
      <w:r>
        <w:rPr>
          <w:rFonts w:hint="eastAsia" w:ascii="宋体" w:hAnsi="宋体" w:eastAsia="宋体" w:cs="宋体"/>
          <w:highlight w:val="none"/>
          <w:lang w:val="en-US" w:eastAsia="zh-CN"/>
        </w:rPr>
        <w:t>精确到0.01</w:t>
      </w:r>
      <w:r>
        <w:rPr>
          <w:rFonts w:hint="eastAsia" w:ascii="微软雅黑" w:hAnsi="微软雅黑" w:eastAsia="微软雅黑" w:cs="微软雅黑"/>
          <w:highlight w:val="none"/>
        </w:rPr>
        <w:t>㎛</w:t>
      </w:r>
      <w:r>
        <w:rPr>
          <w:rFonts w:hint="eastAsia" w:ascii="宋体" w:hAnsi="宋体" w:eastAsia="宋体" w:cs="宋体"/>
          <w:highlight w:val="none"/>
          <w:lang w:eastAsia="zh-CN"/>
        </w:rPr>
        <w:t>）</w:t>
      </w:r>
      <w:r>
        <w:rPr>
          <w:rFonts w:hint="eastAsia" w:ascii="宋体" w:hAnsi="宋体" w:eastAsia="宋体" w:cs="宋体"/>
          <w:highlight w:val="none"/>
        </w:rPr>
        <w:t>，并计算出样条的横截面积为S=</w:t>
      </w:r>
      <w:r>
        <w:rPr>
          <w:rFonts w:hint="eastAsia" w:ascii="宋体" w:hAnsi="宋体" w:eastAsia="宋体" w:cs="宋体"/>
          <w:highlight w:val="none"/>
          <w:lang w:val="en-US" w:eastAsia="zh-CN"/>
        </w:rPr>
        <w:t>W</w:t>
      </w:r>
      <w:r>
        <w:rPr>
          <w:rFonts w:hint="eastAsia" w:ascii="宋体" w:hAnsi="宋体" w:eastAsia="宋体" w:cs="宋体"/>
          <w:highlight w:val="none"/>
        </w:rPr>
        <w:t>*h。</w:t>
      </w:r>
    </w:p>
    <w:p>
      <w:pPr>
        <w:widowControl/>
        <w:tabs>
          <w:tab w:val="center" w:pos="4201"/>
          <w:tab w:val="right" w:leader="dot" w:pos="9298"/>
        </w:tabs>
        <w:autoSpaceDE w:val="0"/>
        <w:autoSpaceDN w:val="0"/>
        <w:adjustRightInd/>
        <w:spacing w:line="240" w:lineRule="auto"/>
        <w:ind w:firstLine="420" w:firstLineChars="200"/>
        <w:rPr>
          <w:rFonts w:ascii="黑体" w:hAnsi="黑体" w:eastAsia="黑体"/>
          <w:kern w:val="0"/>
          <w:szCs w:val="20"/>
          <w:highlight w:val="none"/>
        </w:rPr>
      </w:pPr>
    </w:p>
    <w:p>
      <w:pPr>
        <w:widowControl/>
        <w:tabs>
          <w:tab w:val="center" w:pos="4201"/>
          <w:tab w:val="right" w:leader="dot" w:pos="9298"/>
        </w:tabs>
        <w:autoSpaceDE w:val="0"/>
        <w:autoSpaceDN w:val="0"/>
        <w:adjustRightInd/>
        <w:spacing w:line="240" w:lineRule="auto"/>
        <w:ind w:firstLine="420" w:firstLineChars="200"/>
        <w:jc w:val="center"/>
        <w:rPr>
          <w:rFonts w:hint="eastAsia" w:ascii="黑体" w:hAnsi="黑体" w:eastAsia="黑体"/>
          <w:kern w:val="0"/>
          <w:szCs w:val="20"/>
          <w:highlight w:val="none"/>
          <w:lang w:eastAsia="zh-CN"/>
        </w:rPr>
      </w:pPr>
      <w:r>
        <w:rPr>
          <w:rFonts w:hint="eastAsia" w:ascii="黑体" w:hAnsi="黑体" w:eastAsia="黑体"/>
          <w:kern w:val="0"/>
          <w:szCs w:val="20"/>
          <w:highlight w:val="none"/>
          <w:lang w:eastAsia="zh-CN"/>
        </w:rPr>
        <w:drawing>
          <wp:inline distT="0" distB="0" distL="114300" distR="114300">
            <wp:extent cx="2249805" cy="1198245"/>
            <wp:effectExtent l="0" t="0" r="5715" b="5715"/>
            <wp:docPr id="7" name="图片 7" descr="MTXX_MH20230817_105515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MTXX_MH20230817_105515992"/>
                    <pic:cNvPicPr>
                      <a:picLocks noChangeAspect="1"/>
                    </pic:cNvPicPr>
                  </pic:nvPicPr>
                  <pic:blipFill>
                    <a:blip r:embed="rId29"/>
                    <a:stretch>
                      <a:fillRect/>
                    </a:stretch>
                  </pic:blipFill>
                  <pic:spPr>
                    <a:xfrm>
                      <a:off x="0" y="0"/>
                      <a:ext cx="2249805" cy="1198245"/>
                    </a:xfrm>
                    <a:prstGeom prst="rect">
                      <a:avLst/>
                    </a:prstGeom>
                  </pic:spPr>
                </pic:pic>
              </a:graphicData>
            </a:graphic>
          </wp:inline>
        </w:drawing>
      </w:r>
    </w:p>
    <w:p>
      <w:pPr>
        <w:widowControl/>
        <w:tabs>
          <w:tab w:val="center" w:pos="4201"/>
          <w:tab w:val="right" w:leader="dot" w:pos="9298"/>
        </w:tabs>
        <w:autoSpaceDE w:val="0"/>
        <w:autoSpaceDN w:val="0"/>
        <w:adjustRightInd/>
        <w:spacing w:line="240" w:lineRule="auto"/>
        <w:jc w:val="center"/>
        <w:rPr>
          <w:rFonts w:ascii="黑体" w:hAnsi="黑体" w:eastAsia="黑体"/>
          <w:kern w:val="0"/>
          <w:szCs w:val="20"/>
          <w:highlight w:val="none"/>
        </w:rPr>
      </w:pPr>
      <w:r>
        <w:rPr>
          <w:rFonts w:hint="eastAsia" w:ascii="黑体" w:hAnsi="黑体" w:eastAsia="黑体"/>
          <w:kern w:val="0"/>
          <w:szCs w:val="20"/>
          <w:highlight w:val="none"/>
          <w:lang w:val="en-US" w:eastAsia="zh-CN"/>
        </w:rPr>
        <w:t xml:space="preserve">     </w:t>
      </w:r>
      <w:r>
        <w:rPr>
          <w:rFonts w:hint="eastAsia" w:ascii="黑体" w:hAnsi="黑体" w:eastAsia="黑体"/>
          <w:kern w:val="0"/>
          <w:szCs w:val="20"/>
          <w:highlight w:val="none"/>
        </w:rPr>
        <w:t>图</w:t>
      </w:r>
      <w:r>
        <w:rPr>
          <w:rFonts w:ascii="黑体" w:hAnsi="黑体" w:eastAsia="黑体"/>
          <w:kern w:val="0"/>
          <w:szCs w:val="20"/>
          <w:highlight w:val="none"/>
        </w:rPr>
        <w:t>A</w:t>
      </w:r>
      <w:r>
        <w:rPr>
          <w:rFonts w:hint="eastAsia" w:ascii="黑体" w:hAnsi="黑体" w:eastAsia="黑体"/>
          <w:kern w:val="0"/>
          <w:szCs w:val="20"/>
          <w:highlight w:val="none"/>
          <w:lang w:val="en-US" w:eastAsia="zh-CN"/>
        </w:rPr>
        <w:t>.</w:t>
      </w:r>
      <w:r>
        <w:rPr>
          <w:rFonts w:ascii="黑体" w:hAnsi="黑体" w:eastAsia="黑体"/>
          <w:kern w:val="0"/>
          <w:szCs w:val="20"/>
          <w:highlight w:val="none"/>
        </w:rPr>
        <w:t xml:space="preserve">1 </w:t>
      </w:r>
      <w:r>
        <w:rPr>
          <w:rFonts w:hint="eastAsia" w:ascii="黑体" w:hAnsi="黑体" w:eastAsia="黑体"/>
          <w:kern w:val="0"/>
          <w:szCs w:val="20"/>
          <w:highlight w:val="none"/>
        </w:rPr>
        <w:t>体积电阻率印刷示意图</w:t>
      </w:r>
    </w:p>
    <w:p>
      <w:pPr>
        <w:pStyle w:val="80"/>
        <w:spacing w:before="120" w:after="120"/>
        <w:rPr>
          <w:rFonts w:ascii="黑体" w:hAnsi="黑体" w:eastAsia="黑体"/>
          <w:kern w:val="0"/>
          <w:szCs w:val="20"/>
          <w:highlight w:val="none"/>
        </w:rPr>
      </w:pPr>
      <w:bookmarkStart w:id="192" w:name="_Toc15402"/>
      <w:r>
        <w:rPr>
          <w:rFonts w:hint="eastAsia" w:ascii="黑体" w:hAnsi="黑体" w:eastAsia="黑体"/>
          <w:kern w:val="0"/>
          <w:szCs w:val="20"/>
          <w:highlight w:val="none"/>
        </w:rPr>
        <w:t>测试结果处理</w:t>
      </w:r>
      <w:bookmarkEnd w:id="192"/>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根据公式（A</w:t>
      </w:r>
      <w:r>
        <w:rPr>
          <w:rFonts w:hint="eastAsia" w:ascii="宋体" w:hAnsi="宋体" w:eastAsia="宋体" w:cs="宋体"/>
          <w:highlight w:val="none"/>
          <w:lang w:val="en-US" w:eastAsia="zh-CN"/>
        </w:rPr>
        <w:t>.</w:t>
      </w:r>
      <w:r>
        <w:rPr>
          <w:rFonts w:hint="eastAsia" w:ascii="宋体" w:hAnsi="宋体" w:eastAsia="宋体" w:cs="宋体"/>
          <w:highlight w:val="none"/>
        </w:rPr>
        <w:t>1）处理测试结果，计算银浆的体积电阻率。</w:t>
      </w:r>
    </w:p>
    <w:p>
      <w:pPr>
        <w:widowControl/>
        <w:tabs>
          <w:tab w:val="center" w:pos="4201"/>
          <w:tab w:val="right" w:leader="dot" w:pos="9298"/>
        </w:tabs>
        <w:autoSpaceDE w:val="0"/>
        <w:autoSpaceDN w:val="0"/>
        <w:adjustRightInd/>
        <w:spacing w:line="240" w:lineRule="auto"/>
        <w:jc w:val="right"/>
        <w:rPr>
          <w:rFonts w:ascii="宋体" w:cs="Calibri"/>
          <w:kern w:val="0"/>
          <w:szCs w:val="21"/>
          <w:highlight w:val="none"/>
        </w:rPr>
      </w:pPr>
      <m:oMath>
        <m:r>
          <m:rPr/>
          <w:rPr>
            <w:rFonts w:ascii="Cambria Math" w:hAnsi="Cambria Math" w:cs="Calibri"/>
            <w:kern w:val="0"/>
            <w:sz w:val="36"/>
            <w:szCs w:val="36"/>
            <w:highlight w:val="none"/>
          </w:rPr>
          <m:t xml:space="preserve">ρ= </m:t>
        </m:r>
        <m:f>
          <m:fPr>
            <m:ctrlPr>
              <w:rPr>
                <w:rFonts w:ascii="Cambria Math" w:hAnsi="Cambria Math" w:cs="Calibri"/>
                <w:i/>
                <w:kern w:val="0"/>
                <w:sz w:val="36"/>
                <w:szCs w:val="36"/>
                <w:highlight w:val="none"/>
              </w:rPr>
            </m:ctrlPr>
          </m:fPr>
          <m:num>
            <m:r>
              <m:rPr/>
              <w:rPr>
                <w:rFonts w:ascii="Cambria Math" w:hAnsi="Cambria Math" w:cs="Calibri"/>
                <w:kern w:val="0"/>
                <w:sz w:val="36"/>
                <w:szCs w:val="36"/>
                <w:highlight w:val="none"/>
              </w:rPr>
              <m:t>R ×S</m:t>
            </m:r>
            <m:ctrlPr>
              <w:rPr>
                <w:rFonts w:ascii="Cambria Math" w:hAnsi="Cambria Math" w:cs="Calibri"/>
                <w:i/>
                <w:kern w:val="0"/>
                <w:sz w:val="36"/>
                <w:szCs w:val="36"/>
                <w:highlight w:val="none"/>
              </w:rPr>
            </m:ctrlPr>
          </m:num>
          <m:den>
            <m:r>
              <m:rPr/>
              <w:rPr>
                <w:rFonts w:hint="default" w:ascii="Cambria Math" w:hAnsi="Cambria Math" w:cs="Calibri"/>
                <w:kern w:val="0"/>
                <w:sz w:val="36"/>
                <w:szCs w:val="36"/>
                <w:highlight w:val="none"/>
                <w:lang w:val="en-US" w:eastAsia="zh-CN"/>
              </w:rPr>
              <m:t>L</m:t>
            </m:r>
            <m:ctrlPr>
              <w:rPr>
                <w:rFonts w:ascii="Cambria Math" w:hAnsi="Cambria Math" w:cs="Calibri"/>
                <w:i/>
                <w:kern w:val="0"/>
                <w:sz w:val="36"/>
                <w:szCs w:val="36"/>
                <w:highlight w:val="none"/>
              </w:rPr>
            </m:ctrlPr>
          </m:den>
        </m:f>
      </m:oMath>
      <w:r>
        <w:rPr>
          <w:rFonts w:hint="eastAsia" w:ascii="宋体" w:cs="Calibri"/>
          <w:kern w:val="0"/>
          <w:szCs w:val="21"/>
          <w:highlight w:val="none"/>
        </w:rPr>
        <w:t>…………………………………………（A</w:t>
      </w:r>
      <w:r>
        <w:rPr>
          <w:rFonts w:hint="eastAsia" w:ascii="宋体" w:cs="Calibri"/>
          <w:kern w:val="0"/>
          <w:szCs w:val="21"/>
          <w:highlight w:val="none"/>
          <w:lang w:val="en-US" w:eastAsia="zh-CN"/>
        </w:rPr>
        <w:t>.</w:t>
      </w:r>
      <w:r>
        <w:rPr>
          <w:rFonts w:ascii="宋体" w:cs="Calibri"/>
          <w:kern w:val="0"/>
          <w:szCs w:val="21"/>
          <w:highlight w:val="none"/>
        </w:rPr>
        <w:t>1</w:t>
      </w:r>
      <w:r>
        <w:rPr>
          <w:rFonts w:hint="eastAsia" w:ascii="宋体" w:cs="Calibri"/>
          <w:kern w:val="0"/>
          <w:szCs w:val="21"/>
          <w:highlight w:val="none"/>
        </w:rPr>
        <w:t>）</w:t>
      </w:r>
    </w:p>
    <w:p>
      <w:pPr>
        <w:pStyle w:val="233"/>
        <w:rPr>
          <w:highlight w:val="none"/>
        </w:rPr>
      </w:pPr>
      <w:r>
        <w:rPr>
          <w:rFonts w:hint="eastAsia"/>
          <w:highlight w:val="none"/>
        </w:rPr>
        <w:t>式中：</w:t>
      </w:r>
    </w:p>
    <w:p>
      <w:pPr>
        <w:pStyle w:val="233"/>
        <w:ind w:firstLine="360"/>
        <w:rPr>
          <w:highlight w:val="none"/>
        </w:rPr>
      </w:pPr>
      <w:r>
        <w:rPr>
          <w:rFonts w:hAnsi="宋体"/>
          <w:position w:val="-10"/>
          <w:sz w:val="18"/>
          <w:szCs w:val="18"/>
          <w:highlight w:val="none"/>
        </w:rPr>
        <w:object>
          <v:shape id="_x0000_i1025" o:spt="75" type="#_x0000_t75" style="height:15pt;width:13.3pt;" o:ole="t" filled="f" o:preferrelative="t" stroked="f" coordsize="21600,21600">
            <v:path/>
            <v:fill on="f" focussize="0,0"/>
            <v:stroke on="f" joinstyle="miter"/>
            <v:imagedata r:id="rId31" o:title=""/>
            <o:lock v:ext="edit" aspectratio="t"/>
            <w10:wrap type="none"/>
            <w10:anchorlock/>
          </v:shape>
          <o:OLEObject Type="Embed" ProgID="Equation.3" ShapeID="_x0000_i1025" DrawAspect="Content" ObjectID="_1468075725" r:id="rId30">
            <o:LockedField>false</o:LockedField>
          </o:OLEObject>
        </w:object>
      </w:r>
      <w:r>
        <w:rPr>
          <w:rFonts w:hint="eastAsia"/>
          <w:i/>
          <w:iCs/>
          <w:sz w:val="18"/>
          <w:szCs w:val="18"/>
          <w:highlight w:val="none"/>
        </w:rPr>
        <w:t xml:space="preserve"> </w:t>
      </w:r>
      <w:r>
        <w:rPr>
          <w:rFonts w:hint="eastAsia"/>
          <w:highlight w:val="none"/>
        </w:rPr>
        <w:t>——体积电阻率，单位为</w:t>
      </w:r>
      <w:r>
        <w:rPr>
          <w:rFonts w:hint="eastAsia"/>
          <w:highlight w:val="none"/>
          <w:lang w:val="en-US" w:eastAsia="zh-CN"/>
        </w:rPr>
        <w:t>微</w:t>
      </w:r>
      <w:r>
        <w:rPr>
          <w:rFonts w:hint="eastAsia"/>
          <w:highlight w:val="none"/>
        </w:rPr>
        <w:t>姆</w:t>
      </w:r>
      <w:r>
        <w:rPr>
          <w:highlight w:val="none"/>
        </w:rPr>
        <w:t>∙</w:t>
      </w:r>
      <w:r>
        <w:rPr>
          <w:rFonts w:hint="eastAsia"/>
          <w:highlight w:val="none"/>
        </w:rPr>
        <w:t>厘米（</w:t>
      </w:r>
      <w:r>
        <w:rPr>
          <w:rFonts w:hint="eastAsia"/>
          <w:highlight w:val="none"/>
          <w:lang w:val="en-US" w:eastAsia="zh-CN"/>
        </w:rPr>
        <w:t>μ</w:t>
      </w:r>
      <w:r>
        <w:rPr>
          <w:highlight w:val="none"/>
        </w:rPr>
        <w:t>Ω∙cm</w:t>
      </w:r>
      <w:r>
        <w:rPr>
          <w:rFonts w:hint="eastAsia"/>
          <w:highlight w:val="none"/>
        </w:rPr>
        <w:t>）；</w:t>
      </w:r>
    </w:p>
    <w:p>
      <w:pPr>
        <w:pStyle w:val="233"/>
        <w:rPr>
          <w:highlight w:val="none"/>
        </w:rPr>
      </w:pPr>
      <w:r>
        <w:rPr>
          <w:rFonts w:hint="eastAsia" w:hAnsi="宋体" w:cs="宋体"/>
          <w:i/>
          <w:iCs/>
          <w:highlight w:val="none"/>
        </w:rPr>
        <w:t>R</w:t>
      </w:r>
      <w:r>
        <w:rPr>
          <w:rFonts w:hint="eastAsia"/>
          <w:i/>
          <w:iCs/>
          <w:highlight w:val="none"/>
        </w:rPr>
        <w:t xml:space="preserve"> </w:t>
      </w:r>
      <w:r>
        <w:rPr>
          <w:rFonts w:hint="eastAsia"/>
          <w:highlight w:val="none"/>
        </w:rPr>
        <w:t>——电阻，单位为欧姆（</w:t>
      </w:r>
      <w:r>
        <w:rPr>
          <w:highlight w:val="none"/>
        </w:rPr>
        <w:t>Ω</w:t>
      </w:r>
      <w:r>
        <w:rPr>
          <w:rFonts w:hint="eastAsia"/>
          <w:highlight w:val="none"/>
        </w:rPr>
        <w:t>）；</w:t>
      </w:r>
    </w:p>
    <w:p>
      <w:pPr>
        <w:pStyle w:val="233"/>
        <w:rPr>
          <w:rFonts w:hint="eastAsia"/>
          <w:highlight w:val="none"/>
        </w:rPr>
      </w:pPr>
      <w:r>
        <w:rPr>
          <w:rFonts w:hint="eastAsia"/>
          <w:i/>
          <w:iCs/>
          <w:highlight w:val="none"/>
        </w:rPr>
        <w:t xml:space="preserve">S </w:t>
      </w:r>
      <w:r>
        <w:rPr>
          <w:rFonts w:hint="eastAsia"/>
          <w:highlight w:val="none"/>
        </w:rPr>
        <w:t>——银浆样条的横截面积，单位为平方厘米（cm</w:t>
      </w:r>
      <w:r>
        <w:rPr>
          <w:highlight w:val="none"/>
          <w:vertAlign w:val="superscript"/>
        </w:rPr>
        <w:t>2</w:t>
      </w:r>
      <w:r>
        <w:rPr>
          <w:rFonts w:hint="eastAsia"/>
          <w:highlight w:val="none"/>
        </w:rPr>
        <w:t>）；</w:t>
      </w:r>
    </w:p>
    <w:p>
      <w:pPr>
        <w:pStyle w:val="233"/>
        <w:rPr>
          <w:rFonts w:hint="eastAsia" w:eastAsia="宋体"/>
          <w:highlight w:val="none"/>
          <w:lang w:val="en-US" w:eastAsia="zh-CN"/>
        </w:rPr>
      </w:pPr>
      <w:r>
        <w:rPr>
          <w:rFonts w:hint="eastAsia"/>
          <w:highlight w:val="none"/>
          <w:lang w:val="en-US" w:eastAsia="zh-CN"/>
        </w:rPr>
        <w:t>L——</w:t>
      </w:r>
      <w:r>
        <w:rPr>
          <w:rFonts w:hint="eastAsia"/>
          <w:highlight w:val="none"/>
        </w:rPr>
        <w:t>银浆样条的</w:t>
      </w:r>
      <w:r>
        <w:rPr>
          <w:rFonts w:hint="eastAsia"/>
          <w:highlight w:val="none"/>
          <w:lang w:val="en-US" w:eastAsia="zh-CN"/>
        </w:rPr>
        <w:t>长度</w:t>
      </w:r>
      <w:r>
        <w:rPr>
          <w:rFonts w:hint="eastAsia"/>
          <w:highlight w:val="none"/>
        </w:rPr>
        <w:t>，单位为厘米（cm）</w:t>
      </w:r>
    </w:p>
    <w:p>
      <w:pPr>
        <w:rPr>
          <w:rFonts w:hint="eastAsia"/>
          <w:highlight w:val="none"/>
        </w:rPr>
      </w:pPr>
      <w:r>
        <w:rPr>
          <w:rFonts w:hint="eastAsia"/>
          <w:highlight w:val="none"/>
        </w:rPr>
        <w:br w:type="page"/>
      </w:r>
    </w:p>
    <w:p>
      <w:pPr>
        <w:pStyle w:val="78"/>
        <w:keepNext w:val="0"/>
        <w:keepLines w:val="0"/>
        <w:pageBreakBefore w:val="0"/>
        <w:widowControl/>
        <w:shd w:val="clear" w:color="FFFFFF" w:fill="FFFFFF"/>
        <w:kinsoku/>
        <w:wordWrap/>
        <w:overflowPunct/>
        <w:topLinePunct w:val="0"/>
        <w:autoSpaceDE/>
        <w:autoSpaceDN/>
        <w:bidi w:val="0"/>
        <w:adjustRightInd/>
        <w:snapToGrid/>
        <w:spacing w:before="567" w:beforeLines="0" w:after="283" w:afterLines="0"/>
        <w:textAlignment w:val="auto"/>
        <w:rPr>
          <w:rFonts w:ascii="黑体" w:hAnsi="黑体" w:eastAsia="黑体"/>
          <w:highlight w:val="none"/>
        </w:rPr>
      </w:pPr>
      <w:bookmarkStart w:id="193" w:name="_Toc31408"/>
      <w:r>
        <w:rPr>
          <w:rFonts w:hint="eastAsia"/>
          <w:highlight w:val="none"/>
        </w:rPr>
        <w:br w:type="textWrapping"/>
      </w:r>
      <w:r>
        <w:rPr>
          <w:rFonts w:hint="eastAsia"/>
          <w:highlight w:val="none"/>
        </w:rPr>
        <w:t>（</w:t>
      </w:r>
      <w:r>
        <w:rPr>
          <w:rFonts w:hint="eastAsia" w:ascii="黑体" w:hAnsi="黑体" w:eastAsia="黑体"/>
          <w:highlight w:val="none"/>
        </w:rPr>
        <w:t>规范性）</w:t>
      </w:r>
      <w:r>
        <w:rPr>
          <w:rFonts w:hint="eastAsia" w:ascii="黑体" w:hAnsi="黑体" w:eastAsia="黑体"/>
          <w:highlight w:val="none"/>
        </w:rPr>
        <w:br w:type="textWrapping"/>
      </w:r>
      <w:r>
        <w:rPr>
          <w:rFonts w:hint="eastAsia" w:ascii="黑体" w:hAnsi="黑体" w:eastAsia="黑体"/>
          <w:highlight w:val="none"/>
        </w:rPr>
        <w:t>接触电阻率测试</w:t>
      </w:r>
      <w:bookmarkEnd w:id="193"/>
    </w:p>
    <w:p>
      <w:pPr>
        <w:pStyle w:val="80"/>
        <w:spacing w:before="120" w:after="120"/>
        <w:rPr>
          <w:rFonts w:ascii="黑体" w:hAnsi="黑体" w:eastAsia="黑体"/>
          <w:highlight w:val="none"/>
        </w:rPr>
      </w:pPr>
      <w:bookmarkStart w:id="194" w:name="_Toc16794"/>
      <w:r>
        <w:rPr>
          <w:rFonts w:hint="eastAsia" w:ascii="黑体" w:hAnsi="黑体" w:eastAsia="黑体"/>
          <w:highlight w:val="none"/>
        </w:rPr>
        <w:t>范围</w:t>
      </w:r>
      <w:bookmarkEnd w:id="194"/>
    </w:p>
    <w:p>
      <w:pPr>
        <w:pStyle w:val="233"/>
        <w:ind w:firstLine="0" w:firstLineChars="0"/>
        <w:rPr>
          <w:rFonts w:hAnsi="宋体" w:cs="宋体"/>
          <w:highlight w:val="none"/>
        </w:rPr>
      </w:pPr>
      <w:r>
        <w:rPr>
          <w:rFonts w:hint="eastAsia" w:hAnsi="宋体" w:cs="宋体"/>
          <w:highlight w:val="none"/>
        </w:rPr>
        <w:t>本附录规定了晶体硅光伏电池用固化型银浆接触电阻率的测试方法。</w:t>
      </w:r>
    </w:p>
    <w:p>
      <w:pPr>
        <w:pStyle w:val="233"/>
        <w:ind w:firstLine="0" w:firstLineChars="0"/>
        <w:rPr>
          <w:rFonts w:hAnsi="宋体" w:cs="宋体"/>
          <w:highlight w:val="none"/>
        </w:rPr>
      </w:pPr>
      <w:r>
        <w:rPr>
          <w:rFonts w:hint="eastAsia" w:hAnsi="宋体" w:cs="宋体"/>
          <w:highlight w:val="none"/>
        </w:rPr>
        <w:t>本附录适用于晶体硅光伏电池用固化型银浆接触电阻率的测定。</w:t>
      </w:r>
    </w:p>
    <w:p>
      <w:pPr>
        <w:pStyle w:val="233"/>
        <w:ind w:firstLine="0" w:firstLineChars="0"/>
        <w:rPr>
          <w:rFonts w:hAnsi="宋体" w:cs="宋体"/>
          <w:highlight w:val="none"/>
        </w:rPr>
      </w:pPr>
    </w:p>
    <w:p>
      <w:pPr>
        <w:pStyle w:val="80"/>
        <w:spacing w:before="120" w:after="120"/>
        <w:rPr>
          <w:rFonts w:ascii="黑体" w:hAnsi="黑体" w:eastAsia="黑体"/>
          <w:highlight w:val="none"/>
        </w:rPr>
      </w:pPr>
      <w:bookmarkStart w:id="195" w:name="_Toc3801"/>
      <w:r>
        <w:rPr>
          <w:rFonts w:hint="eastAsia" w:ascii="黑体" w:hAnsi="黑体" w:eastAsia="黑体"/>
          <w:highlight w:val="none"/>
        </w:rPr>
        <w:t>仪器与设备</w:t>
      </w:r>
      <w:bookmarkEnd w:id="195"/>
    </w:p>
    <w:p>
      <w:pPr>
        <w:adjustRightInd/>
        <w:spacing w:line="240" w:lineRule="auto"/>
        <w:ind w:firstLine="420" w:firstLineChars="200"/>
        <w:rPr>
          <w:rFonts w:ascii="宋体"/>
          <w:szCs w:val="24"/>
          <w:highlight w:val="none"/>
        </w:rPr>
      </w:pPr>
      <w:r>
        <w:rPr>
          <w:rFonts w:hint="eastAsia" w:ascii="宋体"/>
          <w:szCs w:val="24"/>
          <w:highlight w:val="none"/>
        </w:rPr>
        <w:t>所需仪器与设备如下：</w:t>
      </w:r>
    </w:p>
    <w:p>
      <w:pPr>
        <w:pStyle w:val="176"/>
        <w:numPr>
          <w:ilvl w:val="0"/>
          <w:numId w:val="38"/>
        </w:numPr>
        <w:rPr>
          <w:rFonts w:hint="eastAsia"/>
          <w:highlight w:val="none"/>
        </w:rPr>
      </w:pPr>
      <w:r>
        <w:rPr>
          <w:rFonts w:hint="eastAsia"/>
          <w:highlight w:val="none"/>
        </w:rPr>
        <w:t>印刷网版</w:t>
      </w:r>
      <w:r>
        <w:rPr>
          <w:rFonts w:hint="eastAsia"/>
          <w:highlight w:val="none"/>
          <w:lang w:eastAsia="zh-CN"/>
        </w:rPr>
        <w:t>；</w:t>
      </w:r>
    </w:p>
    <w:p>
      <w:pPr>
        <w:pStyle w:val="176"/>
        <w:numPr>
          <w:ilvl w:val="0"/>
          <w:numId w:val="38"/>
        </w:numPr>
        <w:rPr>
          <w:rFonts w:hint="eastAsia"/>
          <w:highlight w:val="none"/>
        </w:rPr>
      </w:pPr>
      <w:r>
        <w:rPr>
          <w:rFonts w:hint="eastAsia"/>
          <w:highlight w:val="none"/>
          <w:lang w:val="en-US" w:eastAsia="zh-CN"/>
        </w:rPr>
        <w:t>万用表</w:t>
      </w:r>
      <w:r>
        <w:rPr>
          <w:rFonts w:hint="eastAsia"/>
          <w:highlight w:val="none"/>
          <w:lang w:eastAsia="zh-CN"/>
        </w:rPr>
        <w:t>。</w:t>
      </w:r>
    </w:p>
    <w:p>
      <w:pPr>
        <w:pStyle w:val="233"/>
        <w:ind w:firstLine="0" w:firstLineChars="0"/>
        <w:rPr>
          <w:rFonts w:ascii="黑体" w:hAnsi="黑体" w:eastAsia="黑体"/>
          <w:highlight w:val="none"/>
        </w:rPr>
      </w:pPr>
    </w:p>
    <w:p>
      <w:pPr>
        <w:pStyle w:val="80"/>
        <w:spacing w:before="120" w:after="120"/>
        <w:rPr>
          <w:rFonts w:ascii="黑体" w:hAnsi="黑体" w:eastAsia="黑体"/>
          <w:highlight w:val="none"/>
        </w:rPr>
      </w:pPr>
      <w:bookmarkStart w:id="196" w:name="_Toc1237"/>
      <w:r>
        <w:rPr>
          <w:rFonts w:hint="eastAsia" w:ascii="黑体" w:hAnsi="黑体" w:eastAsia="黑体"/>
          <w:kern w:val="0"/>
          <w:szCs w:val="20"/>
          <w:highlight w:val="none"/>
        </w:rPr>
        <w:t>材料</w:t>
      </w:r>
      <w:bookmarkEnd w:id="196"/>
    </w:p>
    <w:p>
      <w:pPr>
        <w:adjustRightInd/>
        <w:spacing w:line="240" w:lineRule="auto"/>
        <w:ind w:firstLine="420" w:firstLineChars="200"/>
        <w:rPr>
          <w:rFonts w:ascii="宋体"/>
          <w:szCs w:val="24"/>
          <w:highlight w:val="none"/>
        </w:rPr>
      </w:pPr>
      <w:r>
        <w:rPr>
          <w:rFonts w:hint="eastAsia" w:ascii="宋体"/>
          <w:szCs w:val="24"/>
          <w:highlight w:val="none"/>
        </w:rPr>
        <w:t>所需材料如下：</w:t>
      </w:r>
    </w:p>
    <w:p>
      <w:pPr>
        <w:adjustRightInd/>
        <w:spacing w:line="240" w:lineRule="auto"/>
        <w:ind w:left="420" w:leftChars="200"/>
        <w:rPr>
          <w:rFonts w:ascii="宋体"/>
          <w:szCs w:val="24"/>
          <w:highlight w:val="none"/>
        </w:rPr>
      </w:pPr>
      <w:r>
        <w:rPr>
          <w:rFonts w:hint="eastAsia" w:ascii="宋体"/>
          <w:szCs w:val="24"/>
          <w:highlight w:val="none"/>
        </w:rPr>
        <w:t>a) 晶体硅</w:t>
      </w:r>
      <w:r>
        <w:rPr>
          <w:rFonts w:hint="eastAsia" w:ascii="宋体"/>
          <w:szCs w:val="24"/>
          <w:highlight w:val="none"/>
          <w:lang w:val="en-US" w:eastAsia="zh-CN"/>
        </w:rPr>
        <w:t>蓝膜</w:t>
      </w:r>
      <w:r>
        <w:rPr>
          <w:rFonts w:hint="eastAsia" w:ascii="宋体"/>
          <w:szCs w:val="24"/>
          <w:highlight w:val="none"/>
        </w:rPr>
        <w:t>片：未印刷电极。</w:t>
      </w:r>
    </w:p>
    <w:p>
      <w:pPr>
        <w:pStyle w:val="80"/>
        <w:spacing w:before="120" w:after="120"/>
        <w:rPr>
          <w:rFonts w:ascii="黑体" w:hAnsi="黑体" w:eastAsia="黑体"/>
          <w:highlight w:val="none"/>
        </w:rPr>
      </w:pPr>
      <w:bookmarkStart w:id="197" w:name="_Toc32423"/>
      <w:r>
        <w:rPr>
          <w:rFonts w:hint="eastAsia" w:ascii="黑体" w:hAnsi="黑体" w:eastAsia="黑体"/>
          <w:highlight w:val="none"/>
        </w:rPr>
        <w:t>试样</w:t>
      </w:r>
      <w:r>
        <w:rPr>
          <w:rFonts w:hint="eastAsia" w:ascii="黑体" w:hAnsi="黑体" w:eastAsia="黑体"/>
          <w:kern w:val="0"/>
          <w:szCs w:val="20"/>
          <w:highlight w:val="none"/>
        </w:rPr>
        <w:t>制备</w:t>
      </w:r>
      <w:bookmarkEnd w:id="197"/>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将待测固化型银浆充分搅拌均匀，使用定制网版手动在晶体硅</w:t>
      </w:r>
      <w:r>
        <w:rPr>
          <w:rFonts w:hint="eastAsia" w:ascii="宋体" w:hAnsi="宋体" w:eastAsia="宋体" w:cs="宋体"/>
          <w:highlight w:val="none"/>
          <w:lang w:val="en-US" w:eastAsia="zh-CN"/>
        </w:rPr>
        <w:t>蓝膜</w:t>
      </w:r>
      <w:r>
        <w:rPr>
          <w:rFonts w:hint="eastAsia" w:ascii="宋体" w:hAnsi="宋体" w:eastAsia="宋体" w:cs="宋体"/>
          <w:highlight w:val="none"/>
        </w:rPr>
        <w:t>片上印刷相同形状，不同间隔的样条</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样品长为W</w:t>
      </w:r>
      <w:r>
        <w:rPr>
          <w:rFonts w:hint="eastAsia" w:ascii="宋体" w:hAnsi="宋体" w:eastAsia="宋体" w:cs="宋体"/>
          <w:highlight w:val="none"/>
        </w:rPr>
        <w:t>（10 mm≤W≤15 mm）</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如图B.1所示</w:t>
      </w:r>
      <w:r>
        <w:rPr>
          <w:rFonts w:hint="eastAsia" w:ascii="宋体" w:hAnsi="宋体" w:eastAsia="宋体" w:cs="宋体"/>
          <w:highlight w:val="none"/>
        </w:rPr>
        <w:t>。</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按照制造商提供的工艺条件烘干并经隧道烧结炉低温固化。</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每份样品至少有3个试样, 测试结果可有效读取。</w:t>
      </w:r>
    </w:p>
    <w:p>
      <w:pPr>
        <w:pStyle w:val="80"/>
        <w:spacing w:before="120" w:after="120"/>
        <w:rPr>
          <w:rFonts w:ascii="黑体" w:hAnsi="黑体" w:eastAsia="黑体"/>
          <w:highlight w:val="none"/>
        </w:rPr>
      </w:pPr>
      <w:bookmarkStart w:id="198" w:name="_Toc24334"/>
      <w:r>
        <w:rPr>
          <w:rFonts w:hint="eastAsia" w:ascii="黑体" w:hAnsi="黑体" w:eastAsia="黑体"/>
          <w:highlight w:val="none"/>
        </w:rPr>
        <w:t>接触电阻率的测试</w:t>
      </w:r>
      <w:bookmarkEnd w:id="198"/>
    </w:p>
    <w:p>
      <w:pPr>
        <w:pStyle w:val="233"/>
        <w:rPr>
          <w:rFonts w:cs="Calibri"/>
          <w:szCs w:val="21"/>
          <w:highlight w:val="none"/>
        </w:rPr>
      </w:pPr>
      <w:r>
        <w:rPr>
          <w:rFonts w:hint="eastAsia" w:cs="Calibri"/>
          <w:szCs w:val="21"/>
          <w:highlight w:val="none"/>
        </w:rPr>
        <w:t>使用带有四线法测试功能的万用表</w:t>
      </w:r>
      <w:r>
        <w:rPr>
          <w:rFonts w:hint="eastAsia" w:cs="Calibri"/>
          <w:szCs w:val="21"/>
          <w:highlight w:val="none"/>
          <w:lang w:eastAsia="zh-CN"/>
        </w:rPr>
        <w:t>，</w:t>
      </w:r>
      <w:r>
        <w:rPr>
          <w:rFonts w:hint="eastAsia" w:cs="Calibri"/>
          <w:szCs w:val="21"/>
          <w:highlight w:val="none"/>
          <w:lang w:val="en-US" w:eastAsia="zh-CN"/>
        </w:rPr>
        <w:t>量程在0-1000</w:t>
      </w:r>
      <w:r>
        <w:rPr>
          <w:highlight w:val="none"/>
        </w:rPr>
        <w:t>Ω</w:t>
      </w:r>
      <w:r>
        <w:rPr>
          <w:rFonts w:hint="eastAsia"/>
          <w:highlight w:val="none"/>
          <w:lang w:val="en-US" w:eastAsia="zh-CN"/>
        </w:rPr>
        <w:t>范围内</w:t>
      </w:r>
      <w:r>
        <w:rPr>
          <w:rFonts w:hint="eastAsia" w:cs="Calibri"/>
          <w:szCs w:val="21"/>
          <w:highlight w:val="none"/>
        </w:rPr>
        <w:t>，测试不同间隔的样条的电阻。</w:t>
      </w:r>
      <w:r>
        <w:rPr>
          <w:rFonts w:hint="eastAsia" w:cs="Calibri"/>
          <w:strike w:val="0"/>
          <w:dstrike w:val="0"/>
          <w:szCs w:val="21"/>
          <w:highlight w:val="none"/>
        </w:rPr>
        <w:t>样条的宽度及间隔</w:t>
      </w:r>
      <w:r>
        <w:rPr>
          <w:rFonts w:hint="eastAsia" w:cs="Calibri"/>
          <w:strike w:val="0"/>
          <w:dstrike w:val="0"/>
          <w:szCs w:val="21"/>
          <w:highlight w:val="none"/>
          <w:lang w:val="en-US" w:eastAsia="zh-CN"/>
        </w:rPr>
        <w:t>大小由供需双方决定（样条宽度d推荐为1mm）。</w:t>
      </w:r>
    </w:p>
    <w:p>
      <w:pPr>
        <w:pStyle w:val="233"/>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eastAsia="宋体" w:cs="Calibri"/>
          <w:szCs w:val="21"/>
          <w:highlight w:val="none"/>
          <w:lang w:eastAsia="zh-CN"/>
        </w:rPr>
      </w:pPr>
      <w:r>
        <w:drawing>
          <wp:inline distT="0" distB="0" distL="114300" distR="114300">
            <wp:extent cx="5934075" cy="1419860"/>
            <wp:effectExtent l="0" t="0" r="9525"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2"/>
                    <a:stretch>
                      <a:fillRect/>
                    </a:stretch>
                  </pic:blipFill>
                  <pic:spPr>
                    <a:xfrm>
                      <a:off x="0" y="0"/>
                      <a:ext cx="5934075" cy="1419860"/>
                    </a:xfrm>
                    <a:prstGeom prst="rect">
                      <a:avLst/>
                    </a:prstGeom>
                    <a:noFill/>
                    <a:ln>
                      <a:noFill/>
                    </a:ln>
                  </pic:spPr>
                </pic:pic>
              </a:graphicData>
            </a:graphic>
          </wp:inline>
        </w:drawing>
      </w:r>
    </w:p>
    <w:p>
      <w:pPr>
        <w:pStyle w:val="233"/>
        <w:ind w:firstLine="0" w:firstLineChars="0"/>
        <w:jc w:val="center"/>
        <w:rPr>
          <w:rFonts w:ascii="黑体" w:hAnsi="黑体" w:eastAsia="黑体"/>
          <w:highlight w:val="none"/>
        </w:rPr>
      </w:pPr>
      <w:r>
        <w:rPr>
          <w:rFonts w:hint="eastAsia" w:ascii="黑体" w:hAnsi="黑体" w:eastAsia="黑体"/>
          <w:highlight w:val="none"/>
        </w:rPr>
        <w:t>图B</w:t>
      </w:r>
      <w:r>
        <w:rPr>
          <w:rFonts w:hint="eastAsia" w:ascii="黑体" w:hAnsi="黑体" w:eastAsia="黑体"/>
          <w:highlight w:val="none"/>
          <w:lang w:val="en-US" w:eastAsia="zh-CN"/>
        </w:rPr>
        <w:t>.</w:t>
      </w:r>
      <w:r>
        <w:rPr>
          <w:rFonts w:ascii="黑体" w:hAnsi="黑体" w:eastAsia="黑体"/>
          <w:highlight w:val="none"/>
        </w:rPr>
        <w:t xml:space="preserve">1 </w:t>
      </w:r>
      <w:r>
        <w:rPr>
          <w:rFonts w:hint="eastAsia" w:ascii="黑体" w:hAnsi="黑体" w:eastAsia="黑体"/>
          <w:highlight w:val="none"/>
          <w:lang w:val="en-US" w:eastAsia="zh-CN"/>
        </w:rPr>
        <w:t xml:space="preserve"> </w:t>
      </w:r>
      <w:r>
        <w:rPr>
          <w:rFonts w:hint="eastAsia" w:ascii="黑体" w:hAnsi="黑体" w:eastAsia="黑体"/>
          <w:highlight w:val="none"/>
        </w:rPr>
        <w:t>接触电阻率印刷示意图</w:t>
      </w:r>
    </w:p>
    <w:p>
      <w:pPr>
        <w:pStyle w:val="80"/>
        <w:spacing w:before="120" w:after="120"/>
        <w:rPr>
          <w:rFonts w:ascii="黑体" w:hAnsi="黑体" w:eastAsia="黑体"/>
          <w:highlight w:val="none"/>
        </w:rPr>
      </w:pPr>
      <w:bookmarkStart w:id="199" w:name="_Toc28851"/>
      <w:r>
        <w:rPr>
          <w:rFonts w:hint="eastAsia" w:ascii="黑体" w:hAnsi="黑体" w:eastAsia="黑体"/>
          <w:highlight w:val="none"/>
        </w:rPr>
        <w:t>测试</w:t>
      </w:r>
      <w:r>
        <w:rPr>
          <w:rFonts w:hint="eastAsia" w:ascii="黑体" w:hAnsi="黑体" w:eastAsia="黑体"/>
          <w:kern w:val="0"/>
          <w:szCs w:val="20"/>
          <w:highlight w:val="none"/>
        </w:rPr>
        <w:t>结果</w:t>
      </w:r>
      <w:r>
        <w:rPr>
          <w:rFonts w:hint="eastAsia" w:ascii="黑体" w:hAnsi="黑体" w:eastAsia="黑体"/>
          <w:highlight w:val="none"/>
        </w:rPr>
        <w:t>处理</w:t>
      </w:r>
      <w:bookmarkEnd w:id="199"/>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按对应不同的距离Ln测出一组RT,做出的RT=f(L)曲线，这些点可以拟合成一条直线</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拟合优度R</w:t>
      </w:r>
      <w:r>
        <w:rPr>
          <w:rFonts w:hint="eastAsia" w:ascii="宋体" w:hAnsi="宋体" w:eastAsia="宋体" w:cs="宋体"/>
          <w:highlight w:val="none"/>
          <w:vertAlign w:val="superscript"/>
          <w:lang w:val="en-US" w:eastAsia="zh-CN"/>
        </w:rPr>
        <w:t>2</w:t>
      </w:r>
      <w:r>
        <w:rPr>
          <w:rFonts w:hint="eastAsia" w:ascii="宋体" w:hAnsi="宋体" w:eastAsia="宋体" w:cs="宋体"/>
          <w:highlight w:val="none"/>
          <w:lang w:val="en-US" w:eastAsia="zh-CN"/>
        </w:rPr>
        <w:t>&gt;0.99</w:t>
      </w:r>
      <w:r>
        <w:rPr>
          <w:rFonts w:hint="eastAsia" w:ascii="宋体" w:hAnsi="宋体" w:eastAsia="宋体" w:cs="宋体"/>
          <w:highlight w:val="none"/>
        </w:rPr>
        <w:t>。</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当Ln=0时,在RT轴上的交点为2Rc,即可得到Rc值。</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直线的斜率为Rsh/W，即可得到Rsh值。</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lang w:val="en-US" w:eastAsia="zh-CN"/>
        </w:rPr>
        <w:t>在推荐宽度d=1mm情况下，d大于有效传输距离L</w:t>
      </w:r>
      <w:r>
        <w:rPr>
          <w:rFonts w:hint="eastAsia" w:ascii="宋体" w:hAnsi="宋体" w:eastAsia="宋体" w:cs="宋体"/>
          <w:highlight w:val="none"/>
          <w:vertAlign w:val="subscript"/>
          <w:lang w:val="en-US" w:eastAsia="zh-CN"/>
        </w:rPr>
        <w:t>T</w:t>
      </w:r>
      <w:r>
        <w:rPr>
          <w:rFonts w:hint="eastAsia" w:ascii="宋体" w:hAnsi="宋体" w:eastAsia="宋体" w:cs="宋体"/>
          <w:highlight w:val="none"/>
          <w:vertAlign w:val="baseline"/>
          <w:lang w:val="en-US" w:eastAsia="zh-CN"/>
        </w:rPr>
        <w:t>的</w:t>
      </w:r>
      <w:r>
        <w:rPr>
          <w:rFonts w:hint="eastAsia" w:ascii="宋体" w:hAnsi="宋体" w:eastAsia="宋体" w:cs="宋体"/>
          <w:highlight w:val="none"/>
          <w:lang w:val="en-US" w:eastAsia="zh-CN"/>
        </w:rPr>
        <w:t>3倍，</w:t>
      </w:r>
      <w:r>
        <w:rPr>
          <w:rFonts w:hint="eastAsia" w:ascii="宋体" w:hAnsi="宋体" w:eastAsia="宋体" w:cs="宋体"/>
          <w:highlight w:val="none"/>
        </w:rPr>
        <w:t>可按照公式（B</w:t>
      </w:r>
      <w:r>
        <w:rPr>
          <w:rFonts w:hint="eastAsia" w:ascii="宋体" w:hAnsi="宋体" w:eastAsia="宋体" w:cs="宋体"/>
          <w:highlight w:val="none"/>
          <w:lang w:val="en-US" w:eastAsia="zh-CN"/>
        </w:rPr>
        <w:t>.</w:t>
      </w:r>
      <w:r>
        <w:rPr>
          <w:rFonts w:hint="eastAsia" w:ascii="宋体" w:hAnsi="宋体" w:eastAsia="宋体" w:cs="宋体"/>
          <w:highlight w:val="none"/>
        </w:rPr>
        <w:t>1）处理测试结果，计算接触电阻率：</w:t>
      </w:r>
    </w:p>
    <w:p>
      <w:pPr>
        <w:pStyle w:val="233"/>
        <w:ind w:firstLine="0" w:firstLineChars="0"/>
        <w:jc w:val="right"/>
        <w:rPr>
          <w:highlight w:val="none"/>
        </w:rPr>
      </w:pPr>
      <m:oMath>
        <m:sSub>
          <m:sSubPr>
            <m:ctrlPr>
              <w:rPr>
                <w:rFonts w:ascii="Cambria Math" w:hAnsi="Cambria Math"/>
                <w:i/>
                <w:sz w:val="36"/>
                <w:szCs w:val="32"/>
                <w:highlight w:val="none"/>
              </w:rPr>
            </m:ctrlPr>
          </m:sSubPr>
          <m:e>
            <m:r>
              <m:rPr/>
              <w:rPr>
                <w:rFonts w:ascii="Cambria Math" w:hAnsi="Cambria Math"/>
                <w:sz w:val="36"/>
                <w:szCs w:val="32"/>
                <w:highlight w:val="none"/>
              </w:rPr>
              <m:t>ρ</m:t>
            </m:r>
            <m:ctrlPr>
              <w:rPr>
                <w:rFonts w:ascii="Cambria Math" w:hAnsi="Cambria Math"/>
                <w:i/>
                <w:sz w:val="36"/>
                <w:szCs w:val="32"/>
                <w:highlight w:val="none"/>
              </w:rPr>
            </m:ctrlPr>
          </m:e>
          <m:sub>
            <m:r>
              <m:rPr/>
              <w:rPr>
                <w:rFonts w:ascii="Cambria Math" w:hAnsi="Cambria Math"/>
                <w:sz w:val="36"/>
                <w:szCs w:val="32"/>
                <w:highlight w:val="none"/>
              </w:rPr>
              <m:t>c</m:t>
            </m:r>
            <m:ctrlPr>
              <w:rPr>
                <w:rFonts w:ascii="Cambria Math" w:hAnsi="Cambria Math"/>
                <w:i/>
                <w:sz w:val="36"/>
                <w:szCs w:val="32"/>
                <w:highlight w:val="none"/>
              </w:rPr>
            </m:ctrlPr>
          </m:sub>
        </m:sSub>
        <m:r>
          <m:rPr/>
          <w:rPr>
            <w:rFonts w:ascii="Cambria Math" w:hAnsi="Cambria Math"/>
            <w:sz w:val="36"/>
            <w:szCs w:val="32"/>
            <w:highlight w:val="none"/>
          </w:rPr>
          <m:t xml:space="preserve">= </m:t>
        </m:r>
        <m:f>
          <m:fPr>
            <m:ctrlPr>
              <w:rPr>
                <w:rFonts w:ascii="Cambria Math" w:hAnsi="Cambria Math"/>
                <w:i/>
                <w:sz w:val="36"/>
                <w:szCs w:val="32"/>
                <w:highlight w:val="none"/>
              </w:rPr>
            </m:ctrlPr>
          </m:fPr>
          <m:num>
            <m:sSup>
              <m:sSupPr>
                <m:ctrlPr>
                  <w:rPr>
                    <w:rFonts w:ascii="Cambria Math" w:hAnsi="Cambria Math"/>
                    <w:i/>
                    <w:sz w:val="36"/>
                    <w:szCs w:val="32"/>
                    <w:highlight w:val="none"/>
                  </w:rPr>
                </m:ctrlPr>
              </m:sSupPr>
              <m:e>
                <m:r>
                  <m:rPr/>
                  <w:rPr>
                    <w:rFonts w:ascii="Cambria Math" w:hAnsi="Cambria Math"/>
                    <w:sz w:val="36"/>
                    <w:szCs w:val="32"/>
                    <w:highlight w:val="none"/>
                  </w:rPr>
                  <m:t>Rc</m:t>
                </m:r>
                <m:ctrlPr>
                  <w:rPr>
                    <w:rFonts w:ascii="Cambria Math" w:hAnsi="Cambria Math"/>
                    <w:i/>
                    <w:sz w:val="36"/>
                    <w:szCs w:val="32"/>
                    <w:highlight w:val="none"/>
                  </w:rPr>
                </m:ctrlPr>
              </m:e>
              <m:sup>
                <m:r>
                  <m:rPr/>
                  <w:rPr>
                    <w:rFonts w:ascii="Cambria Math" w:hAnsi="Cambria Math"/>
                    <w:sz w:val="36"/>
                    <w:szCs w:val="32"/>
                    <w:highlight w:val="none"/>
                  </w:rPr>
                  <m:t>2</m:t>
                </m:r>
                <m:ctrlPr>
                  <w:rPr>
                    <w:rFonts w:ascii="Cambria Math" w:hAnsi="Cambria Math"/>
                    <w:i/>
                    <w:sz w:val="36"/>
                    <w:szCs w:val="32"/>
                    <w:highlight w:val="none"/>
                  </w:rPr>
                </m:ctrlPr>
              </m:sup>
            </m:sSup>
            <m:r>
              <m:rPr/>
              <w:rPr>
                <w:rFonts w:ascii="Cambria Math" w:hAnsi="Cambria Math"/>
                <w:sz w:val="36"/>
                <w:szCs w:val="32"/>
                <w:highlight w:val="none"/>
              </w:rPr>
              <m:t xml:space="preserve"> × </m:t>
            </m:r>
            <m:sSup>
              <m:sSupPr>
                <m:ctrlPr>
                  <w:rPr>
                    <w:rFonts w:ascii="Cambria Math" w:hAnsi="Cambria Math"/>
                    <w:i/>
                    <w:sz w:val="36"/>
                    <w:szCs w:val="32"/>
                    <w:highlight w:val="none"/>
                  </w:rPr>
                </m:ctrlPr>
              </m:sSupPr>
              <m:e>
                <m:r>
                  <m:rPr/>
                  <w:rPr>
                    <w:rFonts w:ascii="Cambria Math" w:hAnsi="Cambria Math"/>
                    <w:sz w:val="36"/>
                    <w:szCs w:val="32"/>
                    <w:highlight w:val="none"/>
                  </w:rPr>
                  <m:t>W</m:t>
                </m:r>
                <m:ctrlPr>
                  <w:rPr>
                    <w:rFonts w:ascii="Cambria Math" w:hAnsi="Cambria Math"/>
                    <w:i/>
                    <w:sz w:val="36"/>
                    <w:szCs w:val="32"/>
                    <w:highlight w:val="none"/>
                  </w:rPr>
                </m:ctrlPr>
              </m:e>
              <m:sup>
                <m:r>
                  <m:rPr/>
                  <w:rPr>
                    <w:rFonts w:ascii="Cambria Math" w:hAnsi="Cambria Math"/>
                    <w:sz w:val="36"/>
                    <w:szCs w:val="32"/>
                    <w:highlight w:val="none"/>
                  </w:rPr>
                  <m:t>2</m:t>
                </m:r>
                <m:ctrlPr>
                  <w:rPr>
                    <w:rFonts w:ascii="Cambria Math" w:hAnsi="Cambria Math"/>
                    <w:i/>
                    <w:sz w:val="36"/>
                    <w:szCs w:val="32"/>
                    <w:highlight w:val="none"/>
                  </w:rPr>
                </m:ctrlPr>
              </m:sup>
            </m:sSup>
            <m:ctrlPr>
              <w:rPr>
                <w:rFonts w:ascii="Cambria Math" w:hAnsi="Cambria Math"/>
                <w:i/>
                <w:sz w:val="36"/>
                <w:szCs w:val="32"/>
                <w:highlight w:val="none"/>
              </w:rPr>
            </m:ctrlPr>
          </m:num>
          <m:den>
            <m:sSub>
              <m:sSubPr>
                <m:ctrlPr>
                  <w:rPr>
                    <w:rFonts w:ascii="Cambria Math" w:hAnsi="Cambria Math"/>
                    <w:i/>
                    <w:sz w:val="36"/>
                    <w:szCs w:val="32"/>
                    <w:highlight w:val="none"/>
                  </w:rPr>
                </m:ctrlPr>
              </m:sSubPr>
              <m:e>
                <m:r>
                  <m:rPr/>
                  <w:rPr>
                    <w:rFonts w:ascii="Cambria Math" w:hAnsi="Cambria Math"/>
                    <w:sz w:val="36"/>
                    <w:szCs w:val="32"/>
                    <w:highlight w:val="none"/>
                  </w:rPr>
                  <m:t>R</m:t>
                </m:r>
                <m:ctrlPr>
                  <w:rPr>
                    <w:rFonts w:ascii="Cambria Math" w:hAnsi="Cambria Math"/>
                    <w:i/>
                    <w:sz w:val="36"/>
                    <w:szCs w:val="32"/>
                    <w:highlight w:val="none"/>
                  </w:rPr>
                </m:ctrlPr>
              </m:e>
              <m:sub>
                <m:r>
                  <m:rPr/>
                  <w:rPr>
                    <w:rFonts w:hint="eastAsia" w:ascii="Cambria Math" w:hAnsi="Cambria Math"/>
                    <w:sz w:val="36"/>
                    <w:szCs w:val="32"/>
                    <w:highlight w:val="none"/>
                  </w:rPr>
                  <m:t>s</m:t>
                </m:r>
                <m:r>
                  <m:rPr/>
                  <w:rPr>
                    <w:rFonts w:ascii="Cambria Math" w:hAnsi="Cambria Math"/>
                    <w:sz w:val="36"/>
                    <w:szCs w:val="32"/>
                    <w:highlight w:val="none"/>
                  </w:rPr>
                  <m:t>ℎ</m:t>
                </m:r>
                <m:ctrlPr>
                  <w:rPr>
                    <w:rFonts w:ascii="Cambria Math" w:hAnsi="Cambria Math"/>
                    <w:i/>
                    <w:sz w:val="36"/>
                    <w:szCs w:val="32"/>
                    <w:highlight w:val="none"/>
                  </w:rPr>
                </m:ctrlPr>
              </m:sub>
            </m:sSub>
            <m:ctrlPr>
              <w:rPr>
                <w:rFonts w:ascii="Cambria Math" w:hAnsi="Cambria Math"/>
                <w:i/>
                <w:sz w:val="36"/>
                <w:szCs w:val="32"/>
                <w:highlight w:val="none"/>
              </w:rPr>
            </m:ctrlPr>
          </m:den>
        </m:f>
      </m:oMath>
      <w:r>
        <w:rPr>
          <w:rFonts w:hint="eastAsia"/>
          <w:highlight w:val="none"/>
        </w:rPr>
        <w:t>…………………………………………（B</w:t>
      </w:r>
      <w:r>
        <w:rPr>
          <w:rFonts w:hint="eastAsia"/>
          <w:highlight w:val="none"/>
          <w:lang w:val="en-US" w:eastAsia="zh-CN"/>
        </w:rPr>
        <w:t>.</w:t>
      </w:r>
      <w:r>
        <w:rPr>
          <w:highlight w:val="none"/>
        </w:rPr>
        <w:t>1</w:t>
      </w:r>
      <w:r>
        <w:rPr>
          <w:rFonts w:hint="eastAsia"/>
          <w:highlight w:val="none"/>
        </w:rPr>
        <w:t>）</w:t>
      </w:r>
    </w:p>
    <w:p>
      <w:pPr>
        <w:pStyle w:val="233"/>
        <w:jc w:val="center"/>
        <w:rPr>
          <w:highlight w:val="none"/>
        </w:rPr>
      </w:pPr>
    </w:p>
    <w:p>
      <w:pPr>
        <w:pStyle w:val="233"/>
        <w:ind w:firstLine="0" w:firstLineChars="0"/>
        <w:rPr>
          <w:highlight w:val="none"/>
        </w:rPr>
      </w:pPr>
      <w:r>
        <w:rPr>
          <w:rFonts w:hint="eastAsia"/>
          <w:highlight w:val="none"/>
        </w:rPr>
        <w:t>式中：</w:t>
      </w:r>
    </w:p>
    <w:p>
      <w:pPr>
        <w:pStyle w:val="233"/>
        <w:ind w:firstLine="360"/>
        <w:rPr>
          <w:rFonts w:hint="eastAsia" w:eastAsia="宋体"/>
          <w:strike/>
          <w:dstrike w:val="0"/>
          <w:highlight w:val="yellow"/>
          <w:lang w:eastAsia="zh-CN"/>
        </w:rPr>
      </w:pPr>
      <w:r>
        <w:rPr>
          <w:rFonts w:hAnsi="宋体"/>
          <w:position w:val="-28"/>
          <w:sz w:val="18"/>
          <w:szCs w:val="18"/>
          <w:highlight w:val="none"/>
        </w:rPr>
        <w:object>
          <v:shape id="_x0000_i1026" o:spt="75" type="#_x0000_t75" style="height:30pt;width:17.75pt;" o:ole="t" filled="f" o:preferrelative="t" stroked="f" coordsize="21600,21600">
            <v:path/>
            <v:fill on="f" focussize="0,0"/>
            <v:stroke on="f"/>
            <v:imagedata r:id="rId34" o:title=""/>
            <o:lock v:ext="edit" aspectratio="t"/>
            <w10:wrap type="none"/>
            <w10:anchorlock/>
          </v:shape>
          <o:OLEObject Type="Embed" ProgID="Equation.3" ShapeID="_x0000_i1026" DrawAspect="Content" ObjectID="_1468075726" r:id="rId33">
            <o:LockedField>false</o:LockedField>
          </o:OLEObject>
        </w:object>
      </w:r>
      <w:r>
        <w:rPr>
          <w:i/>
          <w:iCs/>
          <w:highlight w:val="none"/>
        </w:rPr>
        <w:t xml:space="preserve"> </w:t>
      </w:r>
      <w:r>
        <w:rPr>
          <w:rFonts w:hAnsi="宋体"/>
          <w:szCs w:val="21"/>
          <w:highlight w:val="none"/>
        </w:rPr>
        <w:t>——</w:t>
      </w:r>
      <w:r>
        <w:rPr>
          <w:highlight w:val="none"/>
        </w:rPr>
        <w:t xml:space="preserve"> </w:t>
      </w:r>
      <w:r>
        <w:rPr>
          <w:rFonts w:hint="eastAsia"/>
          <w:highlight w:val="none"/>
        </w:rPr>
        <w:t>金属与半导体接触电阻率，单位为欧姆平方厘米（</w:t>
      </w:r>
      <w:r>
        <w:rPr>
          <w:highlight w:val="none"/>
        </w:rPr>
        <w:t>Ω</w:t>
      </w:r>
      <w:r>
        <w:rPr>
          <w:highlight w:val="none"/>
        </w:rPr>
        <w:sym w:font="Wingdings" w:char="F09F"/>
      </w:r>
      <w:r>
        <w:rPr>
          <w:rFonts w:hint="eastAsia"/>
          <w:highlight w:val="none"/>
        </w:rPr>
        <w:t>c</w:t>
      </w:r>
      <w:r>
        <w:rPr>
          <w:highlight w:val="none"/>
        </w:rPr>
        <w:t>m</w:t>
      </w:r>
      <w:r>
        <w:rPr>
          <w:highlight w:val="none"/>
          <w:vertAlign w:val="superscript"/>
        </w:rPr>
        <w:t>2</w:t>
      </w:r>
      <w:r>
        <w:rPr>
          <w:rFonts w:hint="eastAsia"/>
          <w:highlight w:val="none"/>
        </w:rPr>
        <w:t>）；</w:t>
      </w:r>
    </w:p>
    <w:p>
      <w:pPr>
        <w:pStyle w:val="233"/>
        <w:rPr>
          <w:highlight w:val="none"/>
        </w:rPr>
      </w:pPr>
      <w:r>
        <w:rPr>
          <w:rFonts w:ascii="Cambria Math" w:hAnsi="Cambria Math" w:cs="Cambria Math"/>
          <w:i/>
          <w:iCs/>
          <w:highlight w:val="none"/>
        </w:rPr>
        <w:t>𝑅</w:t>
      </w:r>
      <w:r>
        <w:rPr>
          <w:rFonts w:hint="eastAsia" w:ascii="Cambria Math" w:hAnsi="Cambria Math" w:cs="Cambria Math"/>
          <w:i/>
          <w:iCs/>
          <w:highlight w:val="none"/>
          <w:vertAlign w:val="subscript"/>
        </w:rPr>
        <w:t>sh</w:t>
      </w:r>
      <w:r>
        <w:rPr>
          <w:i/>
          <w:iCs/>
          <w:highlight w:val="none"/>
        </w:rPr>
        <w:t xml:space="preserve"> </w:t>
      </w:r>
      <w:r>
        <w:rPr>
          <w:rFonts w:hAnsi="宋体"/>
          <w:szCs w:val="21"/>
          <w:highlight w:val="none"/>
        </w:rPr>
        <w:t>——</w:t>
      </w:r>
      <w:r>
        <w:rPr>
          <w:highlight w:val="none"/>
        </w:rPr>
        <w:t xml:space="preserve"> </w:t>
      </w:r>
      <w:r>
        <w:rPr>
          <w:rFonts w:hint="eastAsia"/>
          <w:highlight w:val="none"/>
        </w:rPr>
        <w:t>半导体基材本身的方块电阻，单位为欧姆（</w:t>
      </w:r>
      <w:r>
        <w:rPr>
          <w:highlight w:val="none"/>
        </w:rPr>
        <w:t>Ω</w:t>
      </w:r>
      <w:r>
        <w:rPr>
          <w:sz w:val="18"/>
          <w:szCs w:val="18"/>
          <w:highlight w:val="none"/>
        </w:rPr>
        <w:t>/</w:t>
      </w:r>
      <w:r>
        <w:rPr>
          <w:rFonts w:hint="eastAsia"/>
          <w:sz w:val="18"/>
          <w:szCs w:val="18"/>
          <w:highlight w:val="none"/>
        </w:rPr>
        <w:t>□</w:t>
      </w:r>
      <w:r>
        <w:rPr>
          <w:rFonts w:hint="eastAsia"/>
          <w:highlight w:val="none"/>
        </w:rPr>
        <w:t>）；</w:t>
      </w:r>
    </w:p>
    <w:p>
      <w:pPr>
        <w:pStyle w:val="233"/>
        <w:rPr>
          <w:highlight w:val="none"/>
        </w:rPr>
      </w:pPr>
      <w:r>
        <w:rPr>
          <w:rFonts w:ascii="Cambria Math" w:hAnsi="Cambria Math" w:cs="Cambria Math"/>
          <w:i/>
          <w:iCs/>
          <w:highlight w:val="none"/>
        </w:rPr>
        <w:t>𝑅</w:t>
      </w:r>
      <w:r>
        <w:rPr>
          <w:rFonts w:ascii="Cambria Math" w:hAnsi="Cambria Math" w:cs="Cambria Math"/>
          <w:i/>
          <w:iCs/>
          <w:highlight w:val="none"/>
          <w:vertAlign w:val="subscript"/>
        </w:rPr>
        <w:t>𝑐</w:t>
      </w:r>
      <w:r>
        <w:rPr>
          <w:i/>
          <w:iCs/>
          <w:highlight w:val="none"/>
        </w:rPr>
        <w:t xml:space="preserve"> </w:t>
      </w:r>
      <w:r>
        <w:rPr>
          <w:rFonts w:hAnsi="宋体"/>
          <w:szCs w:val="21"/>
          <w:highlight w:val="none"/>
        </w:rPr>
        <w:t>——</w:t>
      </w:r>
      <w:r>
        <w:rPr>
          <w:highlight w:val="none"/>
        </w:rPr>
        <w:t xml:space="preserve"> </w:t>
      </w:r>
      <w:r>
        <w:rPr>
          <w:rFonts w:hint="eastAsia"/>
          <w:highlight w:val="none"/>
        </w:rPr>
        <w:t>金属与半导体接触电阻，单位为欧姆（</w:t>
      </w:r>
      <w:r>
        <w:rPr>
          <w:highlight w:val="none"/>
        </w:rPr>
        <w:t>Ω</w:t>
      </w:r>
      <w:r>
        <w:rPr>
          <w:rFonts w:hint="eastAsia"/>
          <w:highlight w:val="none"/>
        </w:rPr>
        <w:t>）；</w:t>
      </w:r>
    </w:p>
    <w:p>
      <w:pPr>
        <w:pStyle w:val="233"/>
        <w:rPr>
          <w:highlight w:val="none"/>
        </w:rPr>
      </w:pPr>
      <w:r>
        <w:rPr>
          <w:i/>
          <w:iCs/>
          <w:highlight w:val="none"/>
        </w:rPr>
        <w:t xml:space="preserve">W </w:t>
      </w:r>
      <w:r>
        <w:rPr>
          <w:rFonts w:hAnsi="宋体"/>
          <w:szCs w:val="21"/>
          <w:highlight w:val="none"/>
        </w:rPr>
        <w:t>——</w:t>
      </w:r>
      <w:r>
        <w:rPr>
          <w:highlight w:val="none"/>
        </w:rPr>
        <w:t xml:space="preserve"> </w:t>
      </w:r>
      <w:r>
        <w:rPr>
          <w:rFonts w:hint="eastAsia"/>
          <w:highlight w:val="none"/>
        </w:rPr>
        <w:t>样条</w:t>
      </w:r>
      <w:r>
        <w:rPr>
          <w:rFonts w:hint="eastAsia"/>
          <w:highlight w:val="none"/>
          <w:lang w:val="en-US" w:eastAsia="zh-CN"/>
        </w:rPr>
        <w:t>长</w:t>
      </w:r>
      <w:r>
        <w:rPr>
          <w:rFonts w:hint="eastAsia"/>
          <w:highlight w:val="none"/>
        </w:rPr>
        <w:t>度，单位为厘米（cm）。</w:t>
      </w:r>
    </w:p>
    <w:p>
      <w:pPr>
        <w:pStyle w:val="233"/>
        <w:ind w:firstLine="0" w:firstLineChars="0"/>
        <w:rPr>
          <w:rFonts w:ascii="黑体" w:hAnsi="黑体" w:eastAsia="黑体"/>
          <w:highlight w:val="none"/>
        </w:rPr>
        <w:sectPr>
          <w:headerReference r:id="rId21" w:type="default"/>
          <w:footerReference r:id="rId22" w:type="default"/>
          <w:footerReference r:id="rId23" w:type="even"/>
          <w:pgSz w:w="11906" w:h="16838"/>
          <w:pgMar w:top="567" w:right="1134" w:bottom="1134" w:left="1418" w:header="1418" w:footer="1134" w:gutter="0"/>
          <w:pgNumType w:start="1"/>
          <w:cols w:space="720" w:num="1"/>
          <w:formProt w:val="0"/>
          <w:docGrid w:type="lines" w:linePitch="312" w:charSpace="0"/>
        </w:sectPr>
      </w:pPr>
    </w:p>
    <w:p>
      <w:pPr>
        <w:pStyle w:val="78"/>
        <w:keepNext w:val="0"/>
        <w:keepLines w:val="0"/>
        <w:pageBreakBefore w:val="0"/>
        <w:widowControl/>
        <w:shd w:val="clear" w:color="FFFFFF" w:fill="FFFFFF"/>
        <w:kinsoku/>
        <w:wordWrap/>
        <w:overflowPunct/>
        <w:topLinePunct w:val="0"/>
        <w:autoSpaceDE/>
        <w:autoSpaceDN/>
        <w:bidi w:val="0"/>
        <w:adjustRightInd/>
        <w:snapToGrid/>
        <w:spacing w:before="567" w:beforeLines="0" w:after="283" w:afterLines="0"/>
        <w:textAlignment w:val="auto"/>
        <w:rPr>
          <w:rFonts w:ascii="黑体" w:hAnsi="黑体" w:eastAsia="黑体"/>
          <w:highlight w:val="none"/>
        </w:rPr>
      </w:pPr>
      <w:bookmarkStart w:id="200" w:name="_Toc461376794"/>
      <w:bookmarkStart w:id="201" w:name="_Toc137568449"/>
      <w:bookmarkStart w:id="202" w:name="_Toc3555"/>
      <w:r>
        <w:rPr>
          <w:rFonts w:hint="eastAsia" w:hAnsi="黑体"/>
          <w:highlight w:val="none"/>
        </w:rPr>
        <w:br w:type="textWrapping"/>
      </w:r>
      <w:bookmarkEnd w:id="200"/>
      <w:bookmarkEnd w:id="201"/>
      <w:r>
        <w:rPr>
          <w:rFonts w:hint="eastAsia" w:ascii="黑体" w:hAnsi="黑体" w:eastAsia="黑体"/>
          <w:highlight w:val="none"/>
        </w:rPr>
        <w:t>(规范性)</w:t>
      </w:r>
      <w:r>
        <w:rPr>
          <w:rFonts w:hint="eastAsia" w:ascii="黑体" w:hAnsi="黑体" w:eastAsia="黑体"/>
          <w:highlight w:val="none"/>
        </w:rPr>
        <w:br w:type="textWrapping"/>
      </w:r>
      <w:r>
        <w:rPr>
          <w:rFonts w:hint="eastAsia" w:ascii="黑体" w:hAnsi="黑体" w:eastAsia="黑体"/>
          <w:highlight w:val="none"/>
        </w:rPr>
        <w:t>主栅附着力试验</w:t>
      </w:r>
      <w:bookmarkEnd w:id="202"/>
    </w:p>
    <w:p>
      <w:pPr>
        <w:pStyle w:val="80"/>
        <w:spacing w:before="120" w:after="120"/>
        <w:rPr>
          <w:rFonts w:ascii="黑体" w:hAnsi="黑体" w:eastAsia="黑体"/>
          <w:highlight w:val="none"/>
        </w:rPr>
      </w:pPr>
      <w:bookmarkStart w:id="203" w:name="_Toc16358"/>
      <w:r>
        <w:rPr>
          <w:rFonts w:hint="eastAsia" w:ascii="黑体" w:hAnsi="黑体" w:eastAsia="黑体"/>
          <w:highlight w:val="none"/>
        </w:rPr>
        <w:t>范围</w:t>
      </w:r>
      <w:bookmarkEnd w:id="203"/>
    </w:p>
    <w:p>
      <w:pPr>
        <w:pStyle w:val="233"/>
        <w:rPr>
          <w:rFonts w:hAnsi="宋体" w:cs="宋体"/>
          <w:highlight w:val="none"/>
        </w:rPr>
      </w:pPr>
      <w:r>
        <w:rPr>
          <w:rFonts w:hint="eastAsia" w:hAnsi="宋体" w:cs="宋体"/>
          <w:highlight w:val="none"/>
        </w:rPr>
        <w:t>本附录规定了晶体硅光伏电池用固化型银浆主栅附着力的测试方法。</w:t>
      </w:r>
    </w:p>
    <w:p>
      <w:pPr>
        <w:pStyle w:val="233"/>
        <w:rPr>
          <w:rFonts w:hAnsi="宋体" w:cs="宋体"/>
          <w:highlight w:val="none"/>
        </w:rPr>
      </w:pPr>
      <w:r>
        <w:rPr>
          <w:rFonts w:hint="eastAsia" w:hAnsi="宋体" w:cs="宋体"/>
          <w:highlight w:val="none"/>
        </w:rPr>
        <w:t>本附录适用于晶体硅光伏电池用固化型银浆主栅附着力的测定。</w:t>
      </w:r>
    </w:p>
    <w:p>
      <w:pPr>
        <w:pStyle w:val="80"/>
        <w:spacing w:before="120" w:after="120"/>
        <w:rPr>
          <w:rFonts w:ascii="黑体" w:hAnsi="黑体" w:eastAsia="黑体"/>
          <w:highlight w:val="none"/>
        </w:rPr>
      </w:pPr>
      <w:bookmarkStart w:id="204" w:name="_Toc19798"/>
      <w:r>
        <w:rPr>
          <w:rFonts w:hint="eastAsia" w:ascii="黑体" w:hAnsi="黑体" w:eastAsia="黑体"/>
          <w:highlight w:val="none"/>
        </w:rPr>
        <w:t>仪器与设备</w:t>
      </w:r>
      <w:bookmarkEnd w:id="204"/>
    </w:p>
    <w:p>
      <w:pPr>
        <w:adjustRightInd/>
        <w:spacing w:line="240" w:lineRule="auto"/>
        <w:ind w:firstLine="420" w:firstLineChars="200"/>
        <w:rPr>
          <w:rFonts w:ascii="宋体"/>
          <w:szCs w:val="24"/>
          <w:highlight w:val="none"/>
        </w:rPr>
      </w:pPr>
      <w:r>
        <w:rPr>
          <w:rFonts w:hint="eastAsia" w:ascii="宋体"/>
          <w:szCs w:val="24"/>
          <w:highlight w:val="none"/>
        </w:rPr>
        <w:t>所需仪器与设备如下：</w:t>
      </w:r>
    </w:p>
    <w:p>
      <w:pPr>
        <w:pStyle w:val="176"/>
        <w:numPr>
          <w:ilvl w:val="0"/>
          <w:numId w:val="39"/>
        </w:numPr>
        <w:rPr>
          <w:rFonts w:hint="eastAsia"/>
          <w:highlight w:val="none"/>
        </w:rPr>
      </w:pPr>
      <w:r>
        <w:rPr>
          <w:rFonts w:hint="eastAsia"/>
          <w:highlight w:val="none"/>
        </w:rPr>
        <w:t>拉力试验机：量程应包含（0～50）N，测量与记录所施加拉力的精确度应达到±5%。</w:t>
      </w:r>
    </w:p>
    <w:p>
      <w:pPr>
        <w:pStyle w:val="176"/>
        <w:numPr>
          <w:ilvl w:val="0"/>
          <w:numId w:val="39"/>
        </w:numPr>
        <w:rPr>
          <w:rFonts w:hint="eastAsia"/>
          <w:highlight w:val="none"/>
        </w:rPr>
      </w:pPr>
      <w:r>
        <w:rPr>
          <w:rFonts w:hint="eastAsia"/>
          <w:highlight w:val="none"/>
        </w:rPr>
        <w:t>控温烙铁：能够在</w:t>
      </w:r>
      <w:r>
        <w:rPr>
          <w:rFonts w:hint="eastAsia"/>
          <w:highlight w:val="none"/>
          <w:lang w:val="en-US" w:eastAsia="zh-CN"/>
        </w:rPr>
        <w:t>290</w:t>
      </w:r>
      <w:r>
        <w:rPr>
          <w:rFonts w:hint="eastAsia"/>
          <w:highlight w:val="none"/>
        </w:rPr>
        <w:t>℃±</w:t>
      </w:r>
      <w:r>
        <w:rPr>
          <w:rFonts w:hint="eastAsia"/>
          <w:highlight w:val="none"/>
          <w:lang w:val="en-US" w:eastAsia="zh-CN"/>
        </w:rPr>
        <w:t>10</w:t>
      </w:r>
      <w:r>
        <w:rPr>
          <w:rFonts w:hint="eastAsia"/>
          <w:highlight w:val="none"/>
        </w:rPr>
        <w:t>℃控温。</w:t>
      </w:r>
    </w:p>
    <w:p>
      <w:pPr>
        <w:pStyle w:val="176"/>
        <w:numPr>
          <w:ilvl w:val="0"/>
          <w:numId w:val="39"/>
        </w:numPr>
        <w:rPr>
          <w:rFonts w:hint="eastAsia"/>
          <w:highlight w:val="none"/>
        </w:rPr>
      </w:pPr>
      <w:r>
        <w:rPr>
          <w:rFonts w:hint="eastAsia"/>
          <w:highlight w:val="none"/>
        </w:rPr>
        <w:t>温控板：能够在（50±</w:t>
      </w:r>
      <w:r>
        <w:rPr>
          <w:rFonts w:hint="eastAsia"/>
          <w:highlight w:val="none"/>
          <w:lang w:val="en-US" w:eastAsia="zh-CN"/>
        </w:rPr>
        <w:t>10</w:t>
      </w:r>
      <w:r>
        <w:rPr>
          <w:rFonts w:hint="eastAsia"/>
          <w:highlight w:val="none"/>
        </w:rPr>
        <w:t>）℃控温。</w:t>
      </w:r>
    </w:p>
    <w:p>
      <w:pPr>
        <w:pStyle w:val="176"/>
        <w:numPr>
          <w:ilvl w:val="0"/>
          <w:numId w:val="39"/>
        </w:numPr>
        <w:rPr>
          <w:rFonts w:hint="eastAsia"/>
          <w:highlight w:val="none"/>
        </w:rPr>
      </w:pPr>
      <w:r>
        <w:rPr>
          <w:rFonts w:hint="eastAsia"/>
          <w:highlight w:val="none"/>
        </w:rPr>
        <w:t>丝网印刷机。</w:t>
      </w:r>
    </w:p>
    <w:p>
      <w:pPr>
        <w:pStyle w:val="176"/>
        <w:numPr>
          <w:ilvl w:val="0"/>
          <w:numId w:val="39"/>
        </w:numPr>
        <w:rPr>
          <w:rFonts w:hint="eastAsia"/>
          <w:highlight w:val="none"/>
        </w:rPr>
      </w:pPr>
      <w:r>
        <w:rPr>
          <w:rFonts w:hint="eastAsia"/>
          <w:highlight w:val="none"/>
        </w:rPr>
        <w:t>烘干炉。</w:t>
      </w:r>
    </w:p>
    <w:p>
      <w:pPr>
        <w:pStyle w:val="176"/>
        <w:numPr>
          <w:ilvl w:val="0"/>
          <w:numId w:val="39"/>
        </w:numPr>
        <w:rPr>
          <w:rFonts w:hint="eastAsia"/>
          <w:highlight w:val="none"/>
        </w:rPr>
      </w:pPr>
      <w:r>
        <w:rPr>
          <w:rFonts w:hint="eastAsia"/>
          <w:highlight w:val="none"/>
        </w:rPr>
        <w:t>隧道烧结炉：使用温度可达到1000 ℃。</w:t>
      </w:r>
    </w:p>
    <w:p>
      <w:pPr>
        <w:pStyle w:val="80"/>
        <w:spacing w:before="120" w:after="120"/>
        <w:rPr>
          <w:rFonts w:ascii="黑体" w:hAnsi="黑体" w:eastAsia="黑体"/>
          <w:highlight w:val="none"/>
        </w:rPr>
      </w:pPr>
      <w:bookmarkStart w:id="205" w:name="_Toc14858"/>
      <w:r>
        <w:rPr>
          <w:rFonts w:hint="eastAsia" w:ascii="黑体" w:hAnsi="黑体" w:eastAsia="黑体"/>
          <w:kern w:val="0"/>
          <w:szCs w:val="20"/>
          <w:highlight w:val="none"/>
        </w:rPr>
        <w:t>材料</w:t>
      </w:r>
      <w:bookmarkEnd w:id="205"/>
    </w:p>
    <w:p>
      <w:pPr>
        <w:adjustRightInd/>
        <w:spacing w:line="240" w:lineRule="auto"/>
        <w:ind w:firstLine="420" w:firstLineChars="200"/>
        <w:rPr>
          <w:rFonts w:ascii="宋体"/>
          <w:szCs w:val="24"/>
          <w:highlight w:val="none"/>
        </w:rPr>
      </w:pPr>
      <w:r>
        <w:rPr>
          <w:rFonts w:hint="eastAsia" w:ascii="宋体"/>
          <w:szCs w:val="24"/>
          <w:highlight w:val="none"/>
        </w:rPr>
        <w:t>所需材料如下：</w:t>
      </w:r>
    </w:p>
    <w:p>
      <w:pPr>
        <w:pStyle w:val="176"/>
        <w:numPr>
          <w:ilvl w:val="0"/>
          <w:numId w:val="40"/>
        </w:numPr>
        <w:rPr>
          <w:rFonts w:hint="eastAsia"/>
          <w:highlight w:val="none"/>
        </w:rPr>
      </w:pPr>
      <w:r>
        <w:rPr>
          <w:rFonts w:hint="eastAsia"/>
          <w:highlight w:val="none"/>
        </w:rPr>
        <w:t>晶体硅</w:t>
      </w:r>
      <w:r>
        <w:rPr>
          <w:rFonts w:hint="eastAsia"/>
          <w:highlight w:val="none"/>
          <w:lang w:val="en-US" w:eastAsia="zh-CN"/>
        </w:rPr>
        <w:t>蓝膜</w:t>
      </w:r>
      <w:r>
        <w:rPr>
          <w:rFonts w:hint="eastAsia"/>
          <w:highlight w:val="none"/>
        </w:rPr>
        <w:t>片：未印刷电极。</w:t>
      </w:r>
    </w:p>
    <w:p>
      <w:pPr>
        <w:pStyle w:val="176"/>
        <w:numPr>
          <w:ilvl w:val="0"/>
          <w:numId w:val="40"/>
        </w:numPr>
        <w:rPr>
          <w:rFonts w:hint="eastAsia"/>
          <w:highlight w:val="none"/>
        </w:rPr>
      </w:pPr>
      <w:r>
        <w:rPr>
          <w:rFonts w:hint="eastAsia"/>
          <w:highlight w:val="none"/>
        </w:rPr>
        <w:t>焊带：符合GB/T 31985的要求。</w:t>
      </w:r>
    </w:p>
    <w:p>
      <w:pPr>
        <w:pStyle w:val="176"/>
        <w:numPr>
          <w:ilvl w:val="0"/>
          <w:numId w:val="40"/>
        </w:numPr>
        <w:rPr>
          <w:rFonts w:hint="eastAsia"/>
          <w:highlight w:val="none"/>
        </w:rPr>
      </w:pPr>
      <w:r>
        <w:rPr>
          <w:rFonts w:hint="eastAsia"/>
          <w:highlight w:val="none"/>
        </w:rPr>
        <w:t>助焊剂。</w:t>
      </w:r>
    </w:p>
    <w:p>
      <w:pPr>
        <w:pStyle w:val="80"/>
        <w:spacing w:before="120" w:after="120"/>
        <w:rPr>
          <w:rFonts w:ascii="黑体" w:hAnsi="黑体" w:eastAsia="黑体"/>
          <w:highlight w:val="none"/>
        </w:rPr>
      </w:pPr>
      <w:bookmarkStart w:id="206" w:name="_Toc30353"/>
      <w:r>
        <w:rPr>
          <w:rFonts w:hint="eastAsia" w:ascii="黑体" w:hAnsi="黑体" w:eastAsia="黑体"/>
          <w:highlight w:val="none"/>
        </w:rPr>
        <w:t>试样</w:t>
      </w:r>
      <w:r>
        <w:rPr>
          <w:rFonts w:hint="eastAsia" w:ascii="黑体" w:hAnsi="黑体" w:eastAsia="黑体"/>
          <w:kern w:val="0"/>
          <w:szCs w:val="20"/>
          <w:highlight w:val="none"/>
        </w:rPr>
        <w:t>制备</w:t>
      </w:r>
      <w:bookmarkEnd w:id="206"/>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将待测固化型银浆充分搅拌均均，使用丝网印刷机在晶体硅</w:t>
      </w:r>
      <w:r>
        <w:rPr>
          <w:rFonts w:hint="eastAsia" w:ascii="宋体" w:hAnsi="宋体" w:eastAsia="宋体" w:cs="宋体"/>
          <w:highlight w:val="none"/>
          <w:lang w:val="en-US" w:eastAsia="zh-CN"/>
        </w:rPr>
        <w:t>蓝膜</w:t>
      </w:r>
      <w:r>
        <w:rPr>
          <w:rFonts w:hint="eastAsia" w:ascii="宋体" w:hAnsi="宋体" w:eastAsia="宋体" w:cs="宋体"/>
          <w:highlight w:val="none"/>
        </w:rPr>
        <w:t>片上印刷主栅电极，推荐长度不低于15 cm、宽度（0.4～1）mm、厚度（11～15）μm。</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按照制造商提供的工艺条件烘干并经隧道烧结炉固化。</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将焊带置于助焊剂中浸泡（5～15）min，取出后室温晾干。</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C.4.4 将待焊接的晶体硅电池片放在温控板上，升温至（50±5）℃。选择与印刷电极宽度匹配的焊带，按照制造商推荐的焊接温度，用控温烙铁将焊带焊接到烧结好的电极上，焊接过程保持匀速，焊接时间不超过30 s。或者采用串焊机在推荐工艺条件下焊接。</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每份样品至少有3个试样（以每一条焊接焊带的电极作为1个试样）测试结果可有效读取。</w:t>
      </w:r>
    </w:p>
    <w:p>
      <w:pPr>
        <w:pStyle w:val="80"/>
        <w:spacing w:before="120" w:after="120"/>
        <w:rPr>
          <w:rFonts w:ascii="黑体" w:hAnsi="黑体" w:eastAsia="黑体"/>
          <w:highlight w:val="none"/>
        </w:rPr>
      </w:pPr>
      <w:bookmarkStart w:id="207" w:name="_Toc13320"/>
      <w:r>
        <w:rPr>
          <w:rFonts w:hint="eastAsia" w:ascii="黑体" w:hAnsi="黑体" w:eastAsia="黑体"/>
          <w:highlight w:val="none"/>
        </w:rPr>
        <w:t>附着力测试</w:t>
      </w:r>
      <w:bookmarkEnd w:id="207"/>
    </w:p>
    <w:p>
      <w:pPr>
        <w:pStyle w:val="233"/>
        <w:tabs>
          <w:tab w:val="center" w:pos="900"/>
          <w:tab w:val="clear" w:pos="4201"/>
        </w:tabs>
        <w:ind w:firstLineChars="0"/>
        <w:rPr>
          <w:highlight w:val="none"/>
        </w:rPr>
      </w:pPr>
      <w:r>
        <w:rPr>
          <w:rFonts w:hint="eastAsia"/>
          <w:highlight w:val="none"/>
        </w:rPr>
        <w:t>将试样夹在拉力试验机上，沿180</w:t>
      </w:r>
      <w:r>
        <w:rPr>
          <w:rFonts w:ascii="Times New Roman"/>
          <w:highlight w:val="none"/>
        </w:rPr>
        <w:t>°</w:t>
      </w:r>
      <w:r>
        <w:rPr>
          <w:rFonts w:hint="eastAsia"/>
          <w:highlight w:val="none"/>
        </w:rPr>
        <w:t>方向（见图C.1），以（100</w:t>
      </w:r>
      <w:r>
        <w:rPr>
          <w:rFonts w:hint="eastAsia" w:cs="Calibri"/>
          <w:szCs w:val="21"/>
          <w:highlight w:val="none"/>
        </w:rPr>
        <w:t>～300</w:t>
      </w:r>
      <w:r>
        <w:rPr>
          <w:rFonts w:hint="eastAsia"/>
          <w:highlight w:val="none"/>
        </w:rPr>
        <w:t>）mm/min的速度均匀地从电池片上拉焊带，记录，记录拉力值相对稳定区间的平均拉力，以平均拉力作为破坏拉力。</w:t>
      </w:r>
    </w:p>
    <w:p>
      <w:pPr>
        <w:pStyle w:val="233"/>
        <w:tabs>
          <w:tab w:val="center" w:pos="900"/>
          <w:tab w:val="clear" w:pos="4201"/>
        </w:tabs>
        <w:ind w:firstLine="0" w:firstLineChars="0"/>
        <w:jc w:val="center"/>
        <w:rPr>
          <w:rFonts w:hAnsi="宋体" w:cs="宋体"/>
          <w:sz w:val="24"/>
          <w:szCs w:val="24"/>
          <w:highlight w:val="none"/>
        </w:rPr>
      </w:pPr>
    </w:p>
    <w:p>
      <w:pPr>
        <w:pStyle w:val="233"/>
        <w:tabs>
          <w:tab w:val="center" w:pos="900"/>
          <w:tab w:val="clear" w:pos="4201"/>
        </w:tabs>
        <w:ind w:firstLine="0" w:firstLineChars="0"/>
        <w:jc w:val="center"/>
        <w:rPr>
          <w:rFonts w:hAnsi="宋体" w:cs="宋体"/>
          <w:sz w:val="24"/>
          <w:szCs w:val="24"/>
          <w:highlight w:val="none"/>
        </w:rPr>
      </w:pPr>
      <w:r>
        <w:drawing>
          <wp:inline distT="0" distB="0" distL="114300" distR="114300">
            <wp:extent cx="5349240" cy="769620"/>
            <wp:effectExtent l="0" t="0" r="0" b="762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35"/>
                    <a:stretch>
                      <a:fillRect/>
                    </a:stretch>
                  </pic:blipFill>
                  <pic:spPr>
                    <a:xfrm>
                      <a:off x="0" y="0"/>
                      <a:ext cx="5349240" cy="769620"/>
                    </a:xfrm>
                    <a:prstGeom prst="rect">
                      <a:avLst/>
                    </a:prstGeom>
                    <a:noFill/>
                    <a:ln>
                      <a:noFill/>
                    </a:ln>
                  </pic:spPr>
                </pic:pic>
              </a:graphicData>
            </a:graphic>
          </wp:inline>
        </w:drawing>
      </w:r>
    </w:p>
    <w:p>
      <w:pPr>
        <w:pStyle w:val="233"/>
        <w:spacing w:before="120"/>
        <w:ind w:firstLine="0" w:firstLineChars="0"/>
        <w:jc w:val="center"/>
        <w:rPr>
          <w:rFonts w:hint="eastAsia" w:ascii="黑体" w:hAnsi="黑体" w:eastAsia="黑体" w:cs="黑体"/>
          <w:bCs/>
          <w:highlight w:val="none"/>
        </w:rPr>
      </w:pPr>
      <w:r>
        <w:rPr>
          <w:rFonts w:hint="eastAsia" w:ascii="黑体" w:hAnsi="黑体" w:eastAsia="黑体" w:cs="黑体"/>
          <w:bCs/>
          <w:highlight w:val="none"/>
        </w:rPr>
        <w:t>图C.1  主栅附着力测试示意图</w:t>
      </w:r>
    </w:p>
    <w:p>
      <w:pPr>
        <w:pStyle w:val="233"/>
        <w:spacing w:before="120"/>
        <w:ind w:firstLine="0" w:firstLineChars="0"/>
        <w:jc w:val="center"/>
        <w:rPr>
          <w:rFonts w:hint="eastAsia" w:ascii="黑体" w:hAnsi="黑体" w:eastAsia="黑体" w:cs="黑体"/>
          <w:bCs/>
          <w:sz w:val="18"/>
          <w:szCs w:val="16"/>
          <w:highlight w:val="none"/>
          <w:lang w:eastAsia="zh-CN"/>
        </w:rPr>
      </w:pPr>
      <w:r>
        <w:rPr>
          <w:rFonts w:hint="eastAsia" w:ascii="黑体" w:hAnsi="黑体" w:eastAsia="黑体" w:cs="黑体"/>
          <w:bCs/>
          <w:sz w:val="18"/>
          <w:szCs w:val="16"/>
          <w:highlight w:val="none"/>
          <w:lang w:eastAsia="zh-CN"/>
        </w:rPr>
        <w:t>（</w:t>
      </w:r>
      <w:r>
        <w:rPr>
          <w:rFonts w:hint="eastAsia" w:ascii="黑体" w:hAnsi="黑体" w:eastAsia="黑体" w:cs="黑体"/>
          <w:bCs/>
          <w:sz w:val="18"/>
          <w:szCs w:val="16"/>
          <w:highlight w:val="none"/>
          <w:lang w:val="en-US" w:eastAsia="zh-CN"/>
        </w:rPr>
        <w:t>附图来源：T/CSTM 00461—2022</w:t>
      </w:r>
      <w:r>
        <w:rPr>
          <w:rFonts w:hint="eastAsia" w:ascii="黑体" w:hAnsi="黑体" w:eastAsia="黑体" w:cs="黑体"/>
          <w:bCs/>
          <w:sz w:val="18"/>
          <w:szCs w:val="16"/>
          <w:highlight w:val="none"/>
          <w:lang w:eastAsia="zh-CN"/>
        </w:rPr>
        <w:t>）</w:t>
      </w:r>
    </w:p>
    <w:p>
      <w:pPr>
        <w:pStyle w:val="233"/>
        <w:rPr>
          <w:highlight w:val="none"/>
        </w:rPr>
      </w:pPr>
    </w:p>
    <w:p>
      <w:pPr>
        <w:pStyle w:val="80"/>
        <w:spacing w:before="120" w:after="120"/>
        <w:rPr>
          <w:rFonts w:eastAsia="黑体"/>
          <w:highlight w:val="none"/>
        </w:rPr>
      </w:pPr>
      <w:bookmarkStart w:id="208" w:name="_Toc29108"/>
      <w:r>
        <w:rPr>
          <w:rFonts w:hint="eastAsia" w:ascii="黑体" w:hAnsi="黑体" w:eastAsia="黑体"/>
          <w:highlight w:val="none"/>
        </w:rPr>
        <w:t>测试结果</w:t>
      </w:r>
      <w:r>
        <w:rPr>
          <w:rFonts w:hint="eastAsia" w:ascii="黑体" w:hAnsi="黑体" w:eastAsia="黑体"/>
          <w:kern w:val="0"/>
          <w:szCs w:val="20"/>
          <w:highlight w:val="none"/>
        </w:rPr>
        <w:t>处理</w:t>
      </w:r>
      <w:bookmarkEnd w:id="208"/>
    </w:p>
    <w:p>
      <w:pPr>
        <w:pStyle w:val="233"/>
        <w:rPr>
          <w:highlight w:val="none"/>
        </w:rPr>
      </w:pPr>
      <w:r>
        <w:rPr>
          <w:rFonts w:hint="eastAsia"/>
          <w:highlight w:val="none"/>
        </w:rPr>
        <w:t>按照公式（C1）计算平均破坏拉力：</w:t>
      </w:r>
    </w:p>
    <w:p>
      <w:pPr>
        <w:pStyle w:val="233"/>
        <w:ind w:firstLine="0" w:firstLineChars="0"/>
        <w:jc w:val="right"/>
        <w:rPr>
          <w:highlight w:val="none"/>
        </w:rPr>
      </w:pPr>
      <m:oMath>
        <m:acc>
          <m:accPr>
            <m:chr m:val="̅"/>
            <m:ctrlPr>
              <w:rPr>
                <w:rFonts w:ascii="Cambria Math" w:hAnsi="Cambria Math"/>
                <w:i/>
                <w:sz w:val="36"/>
                <w:szCs w:val="32"/>
                <w:highlight w:val="none"/>
              </w:rPr>
            </m:ctrlPr>
          </m:accPr>
          <m:e>
            <m:r>
              <m:rPr/>
              <w:rPr>
                <w:rFonts w:ascii="Cambria Math" w:hAnsi="Cambria Math"/>
                <w:sz w:val="36"/>
                <w:szCs w:val="32"/>
                <w:highlight w:val="none"/>
              </w:rPr>
              <m:t>F</m:t>
            </m:r>
            <m:ctrlPr>
              <w:rPr>
                <w:rFonts w:ascii="Cambria Math" w:hAnsi="Cambria Math"/>
                <w:i/>
                <w:sz w:val="36"/>
                <w:szCs w:val="32"/>
                <w:highlight w:val="none"/>
              </w:rPr>
            </m:ctrlPr>
          </m:e>
        </m:acc>
        <m:r>
          <m:rPr/>
          <w:rPr>
            <w:rFonts w:ascii="Cambria Math" w:hAnsi="Cambria Math"/>
            <w:sz w:val="36"/>
            <w:szCs w:val="32"/>
            <w:highlight w:val="none"/>
          </w:rPr>
          <m:t xml:space="preserve">= </m:t>
        </m:r>
        <m:f>
          <m:fPr>
            <m:ctrlPr>
              <w:rPr>
                <w:rFonts w:ascii="Cambria Math" w:hAnsi="Cambria Math"/>
                <w:i/>
                <w:sz w:val="36"/>
                <w:szCs w:val="32"/>
                <w:highlight w:val="none"/>
              </w:rPr>
            </m:ctrlPr>
          </m:fPr>
          <m:num>
            <m:sSub>
              <m:sSubPr>
                <m:ctrlPr>
                  <w:rPr>
                    <w:rFonts w:ascii="Cambria Math" w:hAnsi="Cambria Math"/>
                    <w:i/>
                    <w:sz w:val="36"/>
                    <w:szCs w:val="32"/>
                    <w:highlight w:val="none"/>
                  </w:rPr>
                </m:ctrlPr>
              </m:sSubPr>
              <m:e>
                <m:r>
                  <m:rPr/>
                  <w:rPr>
                    <w:rFonts w:ascii="Cambria Math" w:hAnsi="Cambria Math"/>
                    <w:sz w:val="36"/>
                    <w:szCs w:val="32"/>
                    <w:highlight w:val="none"/>
                  </w:rPr>
                  <m:t>F</m:t>
                </m:r>
                <m:ctrlPr>
                  <w:rPr>
                    <w:rFonts w:ascii="Cambria Math" w:hAnsi="Cambria Math"/>
                    <w:i/>
                    <w:sz w:val="36"/>
                    <w:szCs w:val="32"/>
                    <w:highlight w:val="none"/>
                  </w:rPr>
                </m:ctrlPr>
              </m:e>
              <m:sub>
                <m:r>
                  <m:rPr/>
                  <w:rPr>
                    <w:rFonts w:ascii="Cambria Math" w:hAnsi="Cambria Math"/>
                    <w:sz w:val="36"/>
                    <w:szCs w:val="32"/>
                    <w:highlight w:val="none"/>
                  </w:rPr>
                  <m:t>1</m:t>
                </m:r>
                <m:ctrlPr>
                  <w:rPr>
                    <w:rFonts w:ascii="Cambria Math" w:hAnsi="Cambria Math"/>
                    <w:i/>
                    <w:sz w:val="36"/>
                    <w:szCs w:val="32"/>
                    <w:highlight w:val="none"/>
                  </w:rPr>
                </m:ctrlPr>
              </m:sub>
            </m:sSub>
            <m:r>
              <m:rPr/>
              <w:rPr>
                <w:rFonts w:ascii="Cambria Math" w:hAnsi="Cambria Math"/>
                <w:sz w:val="36"/>
                <w:szCs w:val="32"/>
                <w:highlight w:val="none"/>
              </w:rPr>
              <m:t xml:space="preserve"> + </m:t>
            </m:r>
            <m:sSub>
              <m:sSubPr>
                <m:ctrlPr>
                  <w:rPr>
                    <w:rFonts w:ascii="Cambria Math" w:hAnsi="Cambria Math"/>
                    <w:i/>
                    <w:sz w:val="36"/>
                    <w:szCs w:val="32"/>
                    <w:highlight w:val="none"/>
                  </w:rPr>
                </m:ctrlPr>
              </m:sSubPr>
              <m:e>
                <m:r>
                  <m:rPr/>
                  <w:rPr>
                    <w:rFonts w:ascii="Cambria Math" w:hAnsi="Cambria Math"/>
                    <w:sz w:val="36"/>
                    <w:szCs w:val="32"/>
                    <w:highlight w:val="none"/>
                  </w:rPr>
                  <m:t>F</m:t>
                </m:r>
                <m:ctrlPr>
                  <w:rPr>
                    <w:rFonts w:ascii="Cambria Math" w:hAnsi="Cambria Math"/>
                    <w:i/>
                    <w:sz w:val="36"/>
                    <w:szCs w:val="32"/>
                    <w:highlight w:val="none"/>
                  </w:rPr>
                </m:ctrlPr>
              </m:e>
              <m:sub>
                <m:r>
                  <m:rPr/>
                  <w:rPr>
                    <w:rFonts w:ascii="Cambria Math" w:hAnsi="Cambria Math"/>
                    <w:sz w:val="36"/>
                    <w:szCs w:val="32"/>
                    <w:highlight w:val="none"/>
                  </w:rPr>
                  <m:t>2</m:t>
                </m:r>
                <m:ctrlPr>
                  <w:rPr>
                    <w:rFonts w:ascii="Cambria Math" w:hAnsi="Cambria Math"/>
                    <w:i/>
                    <w:sz w:val="36"/>
                    <w:szCs w:val="32"/>
                    <w:highlight w:val="none"/>
                  </w:rPr>
                </m:ctrlPr>
              </m:sub>
            </m:sSub>
            <m:r>
              <m:rPr/>
              <w:rPr>
                <w:rFonts w:ascii="Cambria Math" w:hAnsi="Cambria Math"/>
                <w:sz w:val="36"/>
                <w:szCs w:val="32"/>
                <w:highlight w:val="none"/>
              </w:rPr>
              <m:t>+</m:t>
            </m:r>
            <m:r>
              <m:rPr/>
              <w:rPr>
                <w:rFonts w:hint="eastAsia" w:ascii="Cambria Math" w:hAnsi="Cambria Math"/>
                <w:sz w:val="36"/>
                <w:szCs w:val="32"/>
                <w:highlight w:val="none"/>
              </w:rPr>
              <m:t>…</m:t>
            </m:r>
            <m:r>
              <m:rPr/>
              <w:rPr>
                <w:rFonts w:ascii="Cambria Math" w:hAnsi="Cambria Math"/>
                <w:sz w:val="36"/>
                <w:szCs w:val="32"/>
                <w:highlight w:val="none"/>
              </w:rPr>
              <m:t xml:space="preserve">+ </m:t>
            </m:r>
            <m:sSub>
              <m:sSubPr>
                <m:ctrlPr>
                  <w:rPr>
                    <w:rFonts w:ascii="Cambria Math" w:hAnsi="Cambria Math"/>
                    <w:i/>
                    <w:sz w:val="36"/>
                    <w:szCs w:val="32"/>
                    <w:highlight w:val="none"/>
                  </w:rPr>
                </m:ctrlPr>
              </m:sSubPr>
              <m:e>
                <m:r>
                  <m:rPr/>
                  <w:rPr>
                    <w:rFonts w:ascii="Cambria Math" w:hAnsi="Cambria Math"/>
                    <w:sz w:val="36"/>
                    <w:szCs w:val="32"/>
                    <w:highlight w:val="none"/>
                  </w:rPr>
                  <m:t>F</m:t>
                </m:r>
                <m:ctrlPr>
                  <w:rPr>
                    <w:rFonts w:ascii="Cambria Math" w:hAnsi="Cambria Math"/>
                    <w:i/>
                    <w:sz w:val="36"/>
                    <w:szCs w:val="32"/>
                    <w:highlight w:val="none"/>
                  </w:rPr>
                </m:ctrlPr>
              </m:e>
              <m:sub>
                <m:r>
                  <m:rPr/>
                  <w:rPr>
                    <w:rFonts w:ascii="Cambria Math" w:hAnsi="Cambria Math"/>
                    <w:sz w:val="36"/>
                    <w:szCs w:val="32"/>
                    <w:highlight w:val="none"/>
                  </w:rPr>
                  <m:t>n</m:t>
                </m:r>
                <m:ctrlPr>
                  <w:rPr>
                    <w:rFonts w:ascii="Cambria Math" w:hAnsi="Cambria Math"/>
                    <w:i/>
                    <w:sz w:val="36"/>
                    <w:szCs w:val="32"/>
                    <w:highlight w:val="none"/>
                  </w:rPr>
                </m:ctrlPr>
              </m:sub>
            </m:sSub>
            <m:ctrlPr>
              <w:rPr>
                <w:rFonts w:ascii="Cambria Math" w:hAnsi="Cambria Math"/>
                <w:i/>
                <w:sz w:val="36"/>
                <w:szCs w:val="32"/>
                <w:highlight w:val="none"/>
              </w:rPr>
            </m:ctrlPr>
          </m:num>
          <m:den>
            <m:r>
              <m:rPr/>
              <w:rPr>
                <w:rFonts w:ascii="Cambria Math" w:hAnsi="Cambria Math"/>
                <w:sz w:val="36"/>
                <w:szCs w:val="32"/>
                <w:highlight w:val="none"/>
              </w:rPr>
              <m:t>n</m:t>
            </m:r>
            <m:ctrlPr>
              <w:rPr>
                <w:rFonts w:ascii="Cambria Math" w:hAnsi="Cambria Math"/>
                <w:i/>
                <w:sz w:val="36"/>
                <w:szCs w:val="32"/>
                <w:highlight w:val="none"/>
              </w:rPr>
            </m:ctrlPr>
          </m:den>
        </m:f>
      </m:oMath>
      <w:r>
        <w:rPr>
          <w:rFonts w:hint="eastAsia"/>
          <w:highlight w:val="none"/>
        </w:rPr>
        <w:t>……………………………………（C</w:t>
      </w:r>
      <w:r>
        <w:rPr>
          <w:highlight w:val="none"/>
        </w:rPr>
        <w:t>1</w:t>
      </w:r>
      <w:r>
        <w:rPr>
          <w:rFonts w:hint="eastAsia"/>
          <w:highlight w:val="none"/>
        </w:rPr>
        <w:t>）</w:t>
      </w:r>
    </w:p>
    <w:p>
      <w:pPr>
        <w:pStyle w:val="233"/>
        <w:rPr>
          <w:highlight w:val="none"/>
        </w:rPr>
      </w:pPr>
      <w:r>
        <w:rPr>
          <w:rFonts w:hint="eastAsia"/>
          <w:highlight w:val="none"/>
        </w:rPr>
        <w:t>式中：</w:t>
      </w:r>
    </w:p>
    <w:p>
      <w:pPr>
        <w:pStyle w:val="233"/>
        <w:rPr>
          <w:highlight w:val="none"/>
        </w:rPr>
      </w:pPr>
      <w:r>
        <w:rPr>
          <w:rFonts w:hint="eastAsia"/>
          <w:i/>
          <w:iCs/>
          <w:highlight w:val="none"/>
        </w:rPr>
        <w:t xml:space="preserve">F </w:t>
      </w:r>
      <w:r>
        <w:rPr>
          <w:rFonts w:hint="eastAsia"/>
          <w:highlight w:val="none"/>
        </w:rPr>
        <w:t>——单次试验的破坏拉力，单位为牛顿（N）；</w:t>
      </w:r>
    </w:p>
    <w:p>
      <w:pPr>
        <w:pStyle w:val="233"/>
        <w:rPr>
          <w:highlight w:val="none"/>
        </w:rPr>
      </w:pPr>
      <w:r>
        <w:rPr>
          <w:rFonts w:hint="eastAsia" w:hAnsi="宋体" w:cs="宋体"/>
          <w:i/>
          <w:iCs/>
          <w:highlight w:val="none"/>
        </w:rPr>
        <w:t>¯F</w:t>
      </w:r>
      <w:r>
        <w:rPr>
          <w:rFonts w:hint="eastAsia"/>
          <w:i/>
          <w:iCs/>
          <w:highlight w:val="none"/>
        </w:rPr>
        <w:t xml:space="preserve"> </w:t>
      </w:r>
      <w:r>
        <w:rPr>
          <w:rFonts w:hint="eastAsia"/>
          <w:highlight w:val="none"/>
        </w:rPr>
        <w:t>——平均破坏拉力，单位为牛顿（N）；</w:t>
      </w:r>
    </w:p>
    <w:p>
      <w:pPr>
        <w:pStyle w:val="233"/>
        <w:rPr>
          <w:highlight w:val="none"/>
        </w:rPr>
      </w:pPr>
      <w:r>
        <w:rPr>
          <w:rFonts w:hint="eastAsia"/>
          <w:i/>
          <w:iCs/>
          <w:highlight w:val="none"/>
        </w:rPr>
        <w:t>n</w:t>
      </w:r>
      <w:r>
        <w:rPr>
          <w:rFonts w:hint="eastAsia"/>
          <w:highlight w:val="none"/>
        </w:rPr>
        <w:t xml:space="preserve"> ——测定次数。</w:t>
      </w:r>
    </w:p>
    <w:p>
      <w:pPr>
        <w:pStyle w:val="233"/>
        <w:rPr>
          <w:highlight w:val="none"/>
        </w:rPr>
      </w:pPr>
      <w:r>
        <w:rPr>
          <w:rFonts w:hint="eastAsia"/>
          <w:highlight w:val="none"/>
        </w:rPr>
        <w:t>计算平均破坏拉力时，数值修约按照GB/T 8170的规定进行，结果保留两位有效数字。</w:t>
      </w:r>
    </w:p>
    <w:p>
      <w:pPr>
        <w:pStyle w:val="233"/>
        <w:rPr>
          <w:highlight w:val="none"/>
        </w:rPr>
      </w:pPr>
      <w:r>
        <w:rPr>
          <w:rFonts w:hint="eastAsia"/>
          <w:highlight w:val="none"/>
        </w:rPr>
        <w:t>附着力以焊接界面单位宽度的破坏拉力计，按照公式（C2）计算：</w:t>
      </w:r>
    </w:p>
    <w:p>
      <w:pPr>
        <w:pStyle w:val="233"/>
        <w:ind w:firstLine="720"/>
        <w:jc w:val="right"/>
        <w:rPr>
          <w:highlight w:val="none"/>
        </w:rPr>
      </w:pPr>
      <m:oMath>
        <m:r>
          <m:rPr/>
          <w:rPr>
            <w:rFonts w:ascii="Cambria Math" w:hAnsi="Cambria Math"/>
            <w:sz w:val="36"/>
            <w:szCs w:val="32"/>
            <w:highlight w:val="none"/>
          </w:rPr>
          <m:t xml:space="preserve">f= </m:t>
        </m:r>
        <m:f>
          <m:fPr>
            <m:ctrlPr>
              <w:rPr>
                <w:rFonts w:ascii="Cambria Math" w:hAnsi="Cambria Math"/>
                <w:i/>
                <w:sz w:val="36"/>
                <w:szCs w:val="32"/>
                <w:highlight w:val="none"/>
              </w:rPr>
            </m:ctrlPr>
          </m:fPr>
          <m:num>
            <m:acc>
              <m:accPr>
                <m:chr m:val="̅"/>
                <m:ctrlPr>
                  <w:rPr>
                    <w:rFonts w:ascii="Cambria Math" w:hAnsi="Cambria Math"/>
                    <w:i/>
                    <w:sz w:val="36"/>
                    <w:szCs w:val="32"/>
                    <w:highlight w:val="none"/>
                  </w:rPr>
                </m:ctrlPr>
              </m:accPr>
              <m:e>
                <m:r>
                  <m:rPr/>
                  <w:rPr>
                    <w:rFonts w:ascii="Cambria Math" w:hAnsi="Cambria Math"/>
                    <w:sz w:val="36"/>
                    <w:szCs w:val="32"/>
                    <w:highlight w:val="none"/>
                  </w:rPr>
                  <m:t>F</m:t>
                </m:r>
                <m:ctrlPr>
                  <w:rPr>
                    <w:rFonts w:ascii="Cambria Math" w:hAnsi="Cambria Math"/>
                    <w:i/>
                    <w:sz w:val="36"/>
                    <w:szCs w:val="32"/>
                    <w:highlight w:val="none"/>
                  </w:rPr>
                </m:ctrlPr>
              </m:e>
            </m:acc>
            <m:ctrlPr>
              <w:rPr>
                <w:rFonts w:ascii="Cambria Math" w:hAnsi="Cambria Math"/>
                <w:i/>
                <w:sz w:val="36"/>
                <w:szCs w:val="32"/>
                <w:highlight w:val="none"/>
              </w:rPr>
            </m:ctrlPr>
          </m:num>
          <m:den>
            <m:r>
              <m:rPr/>
              <w:rPr>
                <w:rFonts w:ascii="Cambria Math" w:hAnsi="Cambria Math"/>
                <w:sz w:val="36"/>
                <w:szCs w:val="32"/>
                <w:highlight w:val="none"/>
              </w:rPr>
              <m:t>d</m:t>
            </m:r>
            <m:ctrlPr>
              <w:rPr>
                <w:rFonts w:ascii="Cambria Math" w:hAnsi="Cambria Math"/>
                <w:i/>
                <w:sz w:val="36"/>
                <w:szCs w:val="32"/>
                <w:highlight w:val="none"/>
              </w:rPr>
            </m:ctrlPr>
          </m:den>
        </m:f>
      </m:oMath>
      <w:r>
        <w:rPr>
          <w:rFonts w:hint="eastAsia"/>
          <w:highlight w:val="none"/>
        </w:rPr>
        <w:t>………………………………………………（C</w:t>
      </w:r>
      <w:r>
        <w:rPr>
          <w:highlight w:val="none"/>
        </w:rPr>
        <w:t>2</w:t>
      </w:r>
      <w:r>
        <w:rPr>
          <w:rFonts w:hint="eastAsia"/>
          <w:highlight w:val="none"/>
        </w:rPr>
        <w:t>）</w:t>
      </w:r>
    </w:p>
    <w:p>
      <w:pPr>
        <w:pStyle w:val="233"/>
        <w:rPr>
          <w:strike w:val="0"/>
          <w:dstrike w:val="0"/>
          <w:highlight w:val="none"/>
        </w:rPr>
      </w:pPr>
      <w:r>
        <w:rPr>
          <w:rFonts w:hint="eastAsia"/>
          <w:strike w:val="0"/>
          <w:dstrike w:val="0"/>
          <w:highlight w:val="none"/>
        </w:rPr>
        <w:t>式中：</w:t>
      </w:r>
    </w:p>
    <w:p>
      <w:pPr>
        <w:pStyle w:val="233"/>
        <w:rPr>
          <w:strike w:val="0"/>
          <w:dstrike w:val="0"/>
          <w:highlight w:val="none"/>
        </w:rPr>
      </w:pPr>
      <w:r>
        <w:rPr>
          <w:rFonts w:hint="eastAsia"/>
          <w:i/>
          <w:iCs/>
          <w:strike w:val="0"/>
          <w:dstrike w:val="0"/>
          <w:highlight w:val="none"/>
        </w:rPr>
        <w:t xml:space="preserve">f </w:t>
      </w:r>
      <w:r>
        <w:rPr>
          <w:rFonts w:hint="eastAsia"/>
          <w:strike w:val="0"/>
          <w:dstrike w:val="0"/>
          <w:highlight w:val="none"/>
        </w:rPr>
        <w:t>——附着力，单位为牛顿每毫米（N/mm）；</w:t>
      </w:r>
    </w:p>
    <w:p>
      <w:pPr>
        <w:pStyle w:val="233"/>
        <w:rPr>
          <w:strike w:val="0"/>
          <w:dstrike w:val="0"/>
          <w:highlight w:val="none"/>
        </w:rPr>
      </w:pPr>
      <w:r>
        <w:rPr>
          <w:rFonts w:hint="eastAsia" w:hAnsi="宋体" w:cs="宋体"/>
          <w:i/>
          <w:iCs/>
          <w:strike w:val="0"/>
          <w:dstrike w:val="0"/>
          <w:highlight w:val="none"/>
        </w:rPr>
        <w:t>¯F</w:t>
      </w:r>
      <w:r>
        <w:rPr>
          <w:rFonts w:hint="eastAsia"/>
          <w:i/>
          <w:iCs/>
          <w:strike w:val="0"/>
          <w:dstrike w:val="0"/>
          <w:highlight w:val="none"/>
        </w:rPr>
        <w:t xml:space="preserve"> </w:t>
      </w:r>
      <w:r>
        <w:rPr>
          <w:rFonts w:hint="eastAsia"/>
          <w:strike w:val="0"/>
          <w:dstrike w:val="0"/>
          <w:highlight w:val="none"/>
        </w:rPr>
        <w:t>——平均破坏拉力，单位为牛顿（N）；</w:t>
      </w:r>
    </w:p>
    <w:p>
      <w:pPr>
        <w:pStyle w:val="233"/>
        <w:rPr>
          <w:strike/>
          <w:dstrike w:val="0"/>
          <w:color w:val="auto"/>
          <w:highlight w:val="none"/>
        </w:rPr>
      </w:pPr>
      <w:r>
        <w:rPr>
          <w:rFonts w:hint="eastAsia"/>
          <w:i/>
          <w:iCs/>
          <w:strike w:val="0"/>
          <w:dstrike w:val="0"/>
          <w:highlight w:val="none"/>
        </w:rPr>
        <w:t xml:space="preserve">d </w:t>
      </w:r>
      <w:r>
        <w:rPr>
          <w:rFonts w:hint="eastAsia"/>
          <w:strike w:val="0"/>
          <w:dstrike w:val="0"/>
          <w:highlight w:val="none"/>
        </w:rPr>
        <w:t>——</w:t>
      </w:r>
      <w:r>
        <w:rPr>
          <w:rFonts w:hint="eastAsia"/>
          <w:strike w:val="0"/>
          <w:dstrike w:val="0"/>
          <w:color w:val="auto"/>
          <w:highlight w:val="none"/>
        </w:rPr>
        <w:t>电极与焊带焊接接触面宽度</w:t>
      </w:r>
      <w:r>
        <w:rPr>
          <w:rFonts w:hint="eastAsia"/>
          <w:strike w:val="0"/>
          <w:dstrike w:val="0"/>
          <w:color w:val="auto"/>
          <w:highlight w:val="none"/>
          <w:lang w:eastAsia="zh-CN"/>
        </w:rPr>
        <w:t>（</w:t>
      </w:r>
      <w:r>
        <w:rPr>
          <w:rFonts w:hint="eastAsia"/>
          <w:strike w:val="0"/>
          <w:dstrike w:val="0"/>
          <w:color w:val="auto"/>
          <w:highlight w:val="none"/>
          <w:lang w:val="en-US" w:eastAsia="zh-CN"/>
        </w:rPr>
        <w:t>接触面积宽度大小约等于焊条宽度</w:t>
      </w:r>
      <w:r>
        <w:rPr>
          <w:rFonts w:hint="eastAsia"/>
          <w:strike w:val="0"/>
          <w:dstrike w:val="0"/>
          <w:color w:val="auto"/>
          <w:highlight w:val="none"/>
          <w:lang w:eastAsia="zh-CN"/>
        </w:rPr>
        <w:t>）</w:t>
      </w:r>
      <w:r>
        <w:rPr>
          <w:rFonts w:hint="eastAsia"/>
          <w:strike w:val="0"/>
          <w:dstrike w:val="0"/>
          <w:color w:val="auto"/>
          <w:highlight w:val="none"/>
        </w:rPr>
        <w:t>，单位为毫米（mm）。</w:t>
      </w:r>
    </w:p>
    <w:p>
      <w:pPr>
        <w:pStyle w:val="233"/>
        <w:rPr>
          <w:color w:val="auto"/>
          <w:highlight w:val="yellow"/>
        </w:rPr>
      </w:pPr>
    </w:p>
    <w:p>
      <w:pPr>
        <w:pStyle w:val="233"/>
        <w:rPr>
          <w:highlight w:val="none"/>
        </w:rPr>
      </w:pPr>
    </w:p>
    <w:p>
      <w:pPr>
        <w:pStyle w:val="233"/>
        <w:rPr>
          <w:highlight w:val="none"/>
        </w:rPr>
      </w:pPr>
    </w:p>
    <w:p>
      <w:pPr>
        <w:pStyle w:val="78"/>
        <w:keepNext w:val="0"/>
        <w:keepLines w:val="0"/>
        <w:pageBreakBefore w:val="0"/>
        <w:widowControl/>
        <w:shd w:val="clear" w:color="FFFFFF" w:fill="FFFFFF"/>
        <w:kinsoku/>
        <w:wordWrap/>
        <w:overflowPunct/>
        <w:topLinePunct w:val="0"/>
        <w:autoSpaceDE/>
        <w:autoSpaceDN/>
        <w:bidi w:val="0"/>
        <w:adjustRightInd/>
        <w:snapToGrid/>
        <w:spacing w:before="567" w:beforeLines="0" w:after="283" w:afterLines="0"/>
        <w:textAlignment w:val="auto"/>
        <w:rPr>
          <w:rFonts w:ascii="黑体" w:hAnsi="黑体" w:eastAsia="黑体"/>
          <w:highlight w:val="none"/>
        </w:rPr>
      </w:pPr>
      <w:r>
        <w:rPr>
          <w:highlight w:val="none"/>
        </w:rPr>
        <w:br w:type="page"/>
      </w:r>
      <w:bookmarkStart w:id="209" w:name="_Toc137568450"/>
      <w:bookmarkStart w:id="210" w:name="_Toc10474"/>
      <w:r>
        <w:rPr>
          <w:highlight w:val="none"/>
        </w:rPr>
        <w:br w:type="textWrapping"/>
      </w:r>
      <w:bookmarkEnd w:id="209"/>
      <w:r>
        <w:rPr>
          <w:rFonts w:hint="eastAsia" w:ascii="黑体" w:hAnsi="黑体" w:eastAsia="黑体"/>
          <w:highlight w:val="none"/>
        </w:rPr>
        <w:t>(规范性)</w:t>
      </w:r>
      <w:r>
        <w:rPr>
          <w:rFonts w:hint="eastAsia" w:ascii="黑体" w:hAnsi="黑体" w:eastAsia="黑体"/>
          <w:highlight w:val="none"/>
        </w:rPr>
        <w:br w:type="textWrapping"/>
      </w:r>
      <w:r>
        <w:rPr>
          <w:rFonts w:hint="eastAsia" w:ascii="黑体" w:hAnsi="黑体" w:eastAsia="黑体"/>
          <w:highlight w:val="none"/>
        </w:rPr>
        <w:t>副栅附着力试验</w:t>
      </w:r>
      <w:bookmarkEnd w:id="210"/>
    </w:p>
    <w:p>
      <w:pPr>
        <w:pStyle w:val="80"/>
        <w:spacing w:before="120" w:after="120"/>
        <w:rPr>
          <w:rFonts w:ascii="黑体" w:hAnsi="黑体" w:eastAsia="黑体"/>
          <w:highlight w:val="none"/>
        </w:rPr>
      </w:pPr>
      <w:bookmarkStart w:id="211" w:name="_Toc31560"/>
      <w:r>
        <w:rPr>
          <w:rFonts w:hint="eastAsia" w:ascii="黑体" w:hAnsi="黑体" w:eastAsia="黑体"/>
          <w:highlight w:val="none"/>
        </w:rPr>
        <w:t>范围</w:t>
      </w:r>
      <w:bookmarkEnd w:id="211"/>
    </w:p>
    <w:p>
      <w:pPr>
        <w:pStyle w:val="233"/>
        <w:rPr>
          <w:rFonts w:hAnsi="宋体" w:cs="宋体"/>
          <w:highlight w:val="none"/>
        </w:rPr>
      </w:pPr>
      <w:r>
        <w:rPr>
          <w:rFonts w:hint="eastAsia" w:hAnsi="宋体" w:cs="宋体"/>
          <w:highlight w:val="none"/>
        </w:rPr>
        <w:t>本附录规定了晶体硅光伏电池用固化型银浆副栅附着力的测试方法。</w:t>
      </w:r>
    </w:p>
    <w:p>
      <w:pPr>
        <w:pStyle w:val="233"/>
        <w:rPr>
          <w:rFonts w:hAnsi="宋体" w:cs="宋体"/>
          <w:highlight w:val="none"/>
        </w:rPr>
      </w:pPr>
      <w:r>
        <w:rPr>
          <w:rFonts w:hint="eastAsia" w:hAnsi="宋体" w:cs="宋体"/>
          <w:highlight w:val="none"/>
        </w:rPr>
        <w:t>本附录适用于晶体硅光伏电池用固化型银浆副栅附着力的测定。</w:t>
      </w:r>
    </w:p>
    <w:p>
      <w:pPr>
        <w:pStyle w:val="80"/>
        <w:spacing w:before="120" w:after="120"/>
        <w:rPr>
          <w:rFonts w:ascii="黑体" w:hAnsi="黑体" w:eastAsia="黑体"/>
          <w:highlight w:val="none"/>
        </w:rPr>
      </w:pPr>
      <w:bookmarkStart w:id="212" w:name="_Toc540"/>
      <w:r>
        <w:rPr>
          <w:rFonts w:hint="eastAsia" w:ascii="黑体" w:hAnsi="黑体" w:eastAsia="黑体"/>
          <w:highlight w:val="none"/>
        </w:rPr>
        <w:t>仪器与设备</w:t>
      </w:r>
      <w:bookmarkEnd w:id="212"/>
    </w:p>
    <w:p>
      <w:pPr>
        <w:adjustRightInd/>
        <w:spacing w:line="240" w:lineRule="auto"/>
        <w:ind w:firstLine="420" w:firstLineChars="200"/>
        <w:rPr>
          <w:rFonts w:ascii="宋体"/>
          <w:szCs w:val="24"/>
          <w:highlight w:val="none"/>
        </w:rPr>
      </w:pPr>
      <w:r>
        <w:rPr>
          <w:rFonts w:hint="eastAsia" w:ascii="宋体"/>
          <w:szCs w:val="24"/>
          <w:highlight w:val="none"/>
        </w:rPr>
        <w:t>所需仪器与设备如下：</w:t>
      </w:r>
    </w:p>
    <w:p>
      <w:pPr>
        <w:pStyle w:val="176"/>
        <w:numPr>
          <w:ilvl w:val="0"/>
          <w:numId w:val="41"/>
        </w:numPr>
        <w:rPr>
          <w:rFonts w:hint="eastAsia"/>
          <w:highlight w:val="none"/>
        </w:rPr>
      </w:pPr>
      <w:r>
        <w:rPr>
          <w:rFonts w:hint="eastAsia"/>
          <w:highlight w:val="none"/>
        </w:rPr>
        <w:t>水浴锅</w:t>
      </w:r>
    </w:p>
    <w:p>
      <w:pPr>
        <w:pStyle w:val="176"/>
        <w:numPr>
          <w:ilvl w:val="0"/>
          <w:numId w:val="41"/>
        </w:numPr>
        <w:rPr>
          <w:rFonts w:hint="eastAsia"/>
          <w:highlight w:val="none"/>
        </w:rPr>
      </w:pPr>
      <w:r>
        <w:rPr>
          <w:rFonts w:hint="eastAsia"/>
          <w:highlight w:val="none"/>
        </w:rPr>
        <w:t>丝网印刷机。</w:t>
      </w:r>
    </w:p>
    <w:p>
      <w:pPr>
        <w:pStyle w:val="176"/>
        <w:numPr>
          <w:ilvl w:val="0"/>
          <w:numId w:val="41"/>
        </w:numPr>
        <w:rPr>
          <w:rFonts w:hint="eastAsia"/>
          <w:highlight w:val="none"/>
        </w:rPr>
      </w:pPr>
      <w:r>
        <w:rPr>
          <w:rFonts w:hint="eastAsia"/>
          <w:highlight w:val="none"/>
        </w:rPr>
        <w:t>烘干炉。</w:t>
      </w:r>
    </w:p>
    <w:p>
      <w:pPr>
        <w:pStyle w:val="176"/>
        <w:numPr>
          <w:ilvl w:val="0"/>
          <w:numId w:val="41"/>
        </w:numPr>
        <w:rPr>
          <w:rFonts w:hint="eastAsia"/>
          <w:highlight w:val="none"/>
        </w:rPr>
      </w:pPr>
      <w:r>
        <w:rPr>
          <w:rFonts w:hint="eastAsia"/>
          <w:highlight w:val="none"/>
        </w:rPr>
        <w:t>隧道烧结炉</w:t>
      </w:r>
      <w:r>
        <w:rPr>
          <w:rFonts w:hint="eastAsia"/>
          <w:highlight w:val="none"/>
          <w:lang w:eastAsia="zh-CN"/>
        </w:rPr>
        <w:t>。</w:t>
      </w:r>
    </w:p>
    <w:p>
      <w:pPr>
        <w:pStyle w:val="80"/>
        <w:spacing w:before="120" w:after="120"/>
        <w:rPr>
          <w:rFonts w:ascii="黑体" w:hAnsi="黑体" w:eastAsia="黑体"/>
          <w:highlight w:val="none"/>
        </w:rPr>
      </w:pPr>
      <w:bookmarkStart w:id="213" w:name="_Toc520"/>
      <w:r>
        <w:rPr>
          <w:rFonts w:hint="eastAsia" w:ascii="黑体" w:hAnsi="黑体" w:eastAsia="黑体"/>
          <w:highlight w:val="none"/>
        </w:rPr>
        <w:t>材料</w:t>
      </w:r>
      <w:bookmarkEnd w:id="213"/>
    </w:p>
    <w:p>
      <w:pPr>
        <w:adjustRightInd/>
        <w:spacing w:line="240" w:lineRule="auto"/>
        <w:ind w:firstLine="420" w:firstLineChars="200"/>
        <w:rPr>
          <w:rFonts w:ascii="宋体"/>
          <w:szCs w:val="24"/>
          <w:highlight w:val="none"/>
        </w:rPr>
      </w:pPr>
      <w:r>
        <w:rPr>
          <w:rFonts w:hint="eastAsia" w:ascii="宋体"/>
          <w:szCs w:val="24"/>
          <w:highlight w:val="none"/>
        </w:rPr>
        <w:t>所需材料如下：</w:t>
      </w:r>
    </w:p>
    <w:p>
      <w:pPr>
        <w:pStyle w:val="176"/>
        <w:numPr>
          <w:ilvl w:val="0"/>
          <w:numId w:val="42"/>
        </w:numPr>
        <w:rPr>
          <w:rFonts w:hint="eastAsia"/>
          <w:highlight w:val="none"/>
        </w:rPr>
      </w:pPr>
      <w:r>
        <w:rPr>
          <w:rFonts w:hint="eastAsia"/>
          <w:highlight w:val="none"/>
        </w:rPr>
        <w:t>晶体硅电池片：未印刷电极；</w:t>
      </w:r>
    </w:p>
    <w:p>
      <w:pPr>
        <w:pStyle w:val="176"/>
        <w:numPr>
          <w:ilvl w:val="0"/>
          <w:numId w:val="42"/>
        </w:numPr>
        <w:rPr>
          <w:rFonts w:hint="eastAsia"/>
          <w:highlight w:val="none"/>
        </w:rPr>
      </w:pPr>
      <w:r>
        <w:rPr>
          <w:rFonts w:hint="eastAsia"/>
          <w:highlight w:val="none"/>
        </w:rPr>
        <w:t>丝网印刷机；</w:t>
      </w:r>
    </w:p>
    <w:p>
      <w:pPr>
        <w:pStyle w:val="176"/>
        <w:numPr>
          <w:ilvl w:val="0"/>
          <w:numId w:val="42"/>
        </w:numPr>
        <w:rPr>
          <w:rFonts w:hint="eastAsia"/>
          <w:highlight w:val="none"/>
        </w:rPr>
      </w:pPr>
      <w:r>
        <w:rPr>
          <w:rFonts w:hint="eastAsia"/>
          <w:highlight w:val="none"/>
          <w:lang w:val="en-US" w:eastAsia="zh-CN"/>
        </w:rPr>
        <w:t>附着力测试胶带：符合《GB/T 9286-2021 色漆和清漆 划格试验》中对胶带要求，胶带规格尺寸由供需双方决定（推荐使用3M胶带）。</w:t>
      </w:r>
    </w:p>
    <w:p>
      <w:pPr>
        <w:pStyle w:val="80"/>
        <w:spacing w:before="120" w:after="120"/>
        <w:rPr>
          <w:rFonts w:ascii="黑体" w:hAnsi="黑体" w:eastAsia="黑体"/>
          <w:highlight w:val="none"/>
        </w:rPr>
      </w:pPr>
      <w:bookmarkStart w:id="214" w:name="_Toc23166"/>
      <w:r>
        <w:rPr>
          <w:rFonts w:hint="eastAsia" w:ascii="黑体" w:hAnsi="黑体" w:eastAsia="黑体"/>
          <w:highlight w:val="none"/>
        </w:rPr>
        <w:t>试样</w:t>
      </w:r>
      <w:r>
        <w:rPr>
          <w:rFonts w:hint="eastAsia" w:ascii="黑体" w:hAnsi="黑体" w:eastAsia="黑体"/>
          <w:kern w:val="0"/>
          <w:szCs w:val="20"/>
          <w:highlight w:val="none"/>
        </w:rPr>
        <w:t>制备</w:t>
      </w:r>
      <w:bookmarkEnd w:id="214"/>
    </w:p>
    <w:p>
      <w:pPr>
        <w:pStyle w:val="233"/>
        <w:rPr>
          <w:rFonts w:hint="eastAsia" w:eastAsia="宋体"/>
          <w:strike/>
          <w:dstrike w:val="0"/>
          <w:highlight w:val="none"/>
          <w:lang w:eastAsia="zh-CN"/>
        </w:rPr>
      </w:pPr>
      <w:r>
        <w:rPr>
          <w:rFonts w:hint="eastAsia" w:cs="Calibri"/>
          <w:szCs w:val="21"/>
          <w:highlight w:val="none"/>
        </w:rPr>
        <w:t>将待测固化型银浆充分搅拌均匀</w:t>
      </w:r>
      <w:r>
        <w:rPr>
          <w:rFonts w:hint="eastAsia" w:cs="Calibri"/>
          <w:szCs w:val="21"/>
          <w:highlight w:val="none"/>
          <w:lang w:eastAsia="zh-CN"/>
        </w:rPr>
        <w:t>，</w:t>
      </w:r>
      <w:r>
        <w:rPr>
          <w:rFonts w:hint="eastAsia"/>
          <w:highlight w:val="none"/>
        </w:rPr>
        <w:t>通过丝网印刷机打印到晶体硅电池片上成副栅</w:t>
      </w:r>
      <w:r>
        <w:rPr>
          <w:rFonts w:hint="eastAsia"/>
          <w:highlight w:val="none"/>
          <w:lang w:eastAsia="zh-CN"/>
        </w:rPr>
        <w:t>，</w:t>
      </w:r>
      <w:r>
        <w:rPr>
          <w:rFonts w:hint="eastAsia" w:ascii="宋体" w:hAnsi="宋体" w:eastAsia="宋体" w:cs="宋体"/>
          <w:highlight w:val="none"/>
        </w:rPr>
        <w:t>按照制造商提供的工艺条件烘干并经隧道烧结炉固化。</w:t>
      </w:r>
    </w:p>
    <w:p>
      <w:pPr>
        <w:pStyle w:val="80"/>
        <w:spacing w:before="120" w:after="120"/>
        <w:rPr>
          <w:rFonts w:ascii="黑体" w:hAnsi="黑体" w:eastAsia="黑体"/>
          <w:highlight w:val="none"/>
        </w:rPr>
      </w:pPr>
      <w:bookmarkStart w:id="215" w:name="_Toc18455"/>
      <w:r>
        <w:rPr>
          <w:rFonts w:hint="eastAsia" w:ascii="黑体" w:hAnsi="黑体" w:eastAsia="黑体"/>
          <w:kern w:val="0"/>
          <w:szCs w:val="20"/>
          <w:highlight w:val="none"/>
        </w:rPr>
        <w:t>附着力</w:t>
      </w:r>
      <w:r>
        <w:rPr>
          <w:rFonts w:hint="eastAsia" w:ascii="黑体" w:hAnsi="黑体" w:eastAsia="黑体"/>
          <w:highlight w:val="none"/>
        </w:rPr>
        <w:t>测试</w:t>
      </w:r>
      <w:bookmarkEnd w:id="215"/>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lang w:val="en-US" w:eastAsia="zh-CN"/>
        </w:rPr>
      </w:pPr>
      <w:r>
        <w:rPr>
          <w:rFonts w:hint="eastAsia" w:ascii="宋体" w:hAnsi="宋体" w:eastAsia="宋体" w:cs="宋体"/>
          <w:highlight w:val="none"/>
        </w:rPr>
        <w:t>将银浆固化后的电池片放入恒温水槽中</w:t>
      </w:r>
      <w:r>
        <w:rPr>
          <w:rFonts w:hint="eastAsia" w:ascii="宋体" w:hAnsi="宋体" w:eastAsia="宋体" w:cs="宋体"/>
          <w:highlight w:val="none"/>
          <w:lang w:eastAsia="zh-CN"/>
        </w:rPr>
        <w:t>，</w:t>
      </w:r>
      <w:r>
        <w:rPr>
          <w:rFonts w:hint="eastAsia" w:ascii="宋体" w:hAnsi="宋体" w:eastAsia="宋体" w:cs="宋体"/>
          <w:highlight w:val="none"/>
          <w:lang w:val="en-US" w:eastAsia="zh-CN"/>
        </w:rPr>
        <w:t>使用去离子水（DI水标准：电阻率大于0.5 MΩ·cm，最高电阻率可达到18兆），在85℃ 下加热30min。</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lang w:val="en-US" w:eastAsia="zh-CN"/>
        </w:rPr>
      </w:pPr>
      <w:r>
        <w:rPr>
          <w:rFonts w:hint="eastAsia" w:ascii="宋体" w:hAnsi="宋体" w:eastAsia="宋体" w:cs="宋体"/>
          <w:highlight w:val="none"/>
          <w:lang w:val="en-US" w:eastAsia="zh-CN"/>
        </w:rPr>
        <w:t>加热过程中观察晶体硅电池片副栅栅线是否出现脱落或变色的情况。</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lang w:val="en-US" w:eastAsia="zh-CN"/>
        </w:rPr>
      </w:pPr>
      <w:r>
        <w:rPr>
          <w:rFonts w:hint="eastAsia" w:ascii="宋体" w:hAnsi="宋体" w:eastAsia="宋体" w:cs="宋体"/>
          <w:highlight w:val="none"/>
          <w:lang w:val="en-US" w:eastAsia="zh-CN"/>
        </w:rPr>
        <w:t>加热完成后，取出晶体硅电池片，用冷风吹干或自然晾干。</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ascii="宋体" w:hAnsi="宋体" w:eastAsia="宋体" w:cs="宋体"/>
          <w:highlight w:val="none"/>
        </w:rPr>
      </w:pPr>
      <w:r>
        <w:rPr>
          <w:rFonts w:hint="eastAsia" w:ascii="宋体" w:hAnsi="宋体" w:eastAsia="宋体" w:cs="宋体"/>
          <w:highlight w:val="none"/>
        </w:rPr>
        <w:t>撕拉一定长度的胶带</w:t>
      </w:r>
      <w:r>
        <w:rPr>
          <w:rFonts w:hint="eastAsia" w:ascii="宋体" w:hAnsi="宋体" w:eastAsia="宋体" w:cs="宋体"/>
          <w:highlight w:val="none"/>
          <w:lang w:eastAsia="zh-CN"/>
        </w:rPr>
        <w:t>（</w:t>
      </w:r>
      <w:r>
        <w:rPr>
          <w:rFonts w:hint="eastAsia" w:ascii="宋体" w:hAnsi="宋体" w:eastAsia="宋体" w:cs="宋体"/>
          <w:highlight w:val="none"/>
          <w:lang w:val="en-US" w:eastAsia="zh-CN"/>
        </w:rPr>
        <w:t>胶带长度超过电极长度）</w:t>
      </w:r>
      <w:r>
        <w:rPr>
          <w:rFonts w:hint="eastAsia" w:ascii="宋体" w:hAnsi="宋体" w:eastAsia="宋体" w:cs="宋体"/>
          <w:highlight w:val="none"/>
        </w:rPr>
        <w:t>，以于副栅栅线平行的方向、紧贴副栅栅线，使胶带与电池片紧密结合。固定电池片，3s</w:t>
      </w:r>
      <w:r>
        <w:rPr>
          <w:rFonts w:hint="eastAsia" w:ascii="宋体" w:hAnsi="宋体" w:eastAsia="宋体" w:cs="宋体"/>
          <w:highlight w:val="none"/>
          <w:lang w:eastAsia="zh-CN"/>
        </w:rPr>
        <w:t>～</w:t>
      </w:r>
      <w:r>
        <w:rPr>
          <w:rFonts w:hint="eastAsia" w:ascii="宋体" w:hAnsi="宋体" w:eastAsia="宋体" w:cs="宋体"/>
          <w:highlight w:val="none"/>
        </w:rPr>
        <w:t>6s内将胶带</w:t>
      </w:r>
      <w:r>
        <w:rPr>
          <w:rFonts w:hint="eastAsia" w:ascii="宋体" w:hAnsi="宋体" w:eastAsia="宋体" w:cs="宋体"/>
          <w:highlight w:val="none"/>
          <w:lang w:val="en-US" w:eastAsia="zh-CN"/>
        </w:rPr>
        <w:t>匀速</w:t>
      </w:r>
      <w:r>
        <w:rPr>
          <w:rFonts w:hint="eastAsia" w:ascii="宋体" w:hAnsi="宋体" w:eastAsia="宋体" w:cs="宋体"/>
          <w:highlight w:val="none"/>
        </w:rPr>
        <w:t>从电池片分离出来</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拉的方向与副栅线方向垂直</w:t>
      </w:r>
      <w:r>
        <w:rPr>
          <w:rFonts w:hint="eastAsia" w:ascii="宋体" w:hAnsi="宋体" w:eastAsia="宋体" w:cs="宋体"/>
          <w:highlight w:val="none"/>
          <w:lang w:eastAsia="zh-CN"/>
        </w:rPr>
        <w:t>）</w:t>
      </w:r>
      <w:r>
        <w:rPr>
          <w:rFonts w:hint="eastAsia" w:ascii="宋体" w:hAnsi="宋体" w:eastAsia="宋体" w:cs="宋体"/>
          <w:highlight w:val="none"/>
        </w:rPr>
        <w:t>；观察胶带及电池片，检测栅线是否脱落。</w:t>
      </w:r>
    </w:p>
    <w:p>
      <w:pPr>
        <w:pStyle w:val="81"/>
        <w:keepNext w:val="0"/>
        <w:keepLines w:val="0"/>
        <w:pageBreakBefore w:val="0"/>
        <w:widowControl/>
        <w:kinsoku/>
        <w:wordWrap w:val="0"/>
        <w:overflowPunct w:val="0"/>
        <w:topLinePunct w:val="0"/>
        <w:autoSpaceDE w:val="0"/>
        <w:autoSpaceDN w:val="0"/>
        <w:bidi w:val="0"/>
        <w:adjustRightInd/>
        <w:snapToGrid/>
        <w:spacing w:before="0" w:beforeLines="0" w:after="0" w:afterLines="0"/>
        <w:ind w:left="0" w:leftChars="0" w:firstLine="0" w:firstLineChars="0"/>
        <w:textAlignment w:val="baseline"/>
        <w:rPr>
          <w:rFonts w:hint="eastAsia"/>
          <w:lang w:eastAsia="zh-CN"/>
        </w:rPr>
      </w:pPr>
      <w:r>
        <w:rPr>
          <w:rFonts w:hint="eastAsia" w:ascii="宋体" w:hAnsi="宋体" w:eastAsia="宋体" w:cs="宋体"/>
          <w:highlight w:val="none"/>
        </w:rPr>
        <w:t>附着力判断：若出现栅线脱落则判定为不合格，若未出现栅线脱落则判定为合格。</w:t>
      </w:r>
    </w:p>
    <w:p>
      <w:pPr>
        <w:pStyle w:val="233"/>
        <w:keepNext w:val="0"/>
        <w:keepLines w:val="0"/>
        <w:pageBreakBefore w:val="0"/>
        <w:widowControl/>
        <w:kinsoku/>
        <w:wordWrap/>
        <w:overflowPunct/>
        <w:topLinePunct w:val="0"/>
        <w:autoSpaceDE w:val="0"/>
        <w:autoSpaceDN w:val="0"/>
        <w:bidi w:val="0"/>
        <w:adjustRightInd/>
        <w:snapToGrid/>
        <w:spacing w:before="10" w:after="157" w:afterLines="50"/>
        <w:ind w:firstLine="0" w:firstLineChars="0"/>
        <w:jc w:val="center"/>
        <w:textAlignment w:val="auto"/>
        <w:rPr>
          <w:rFonts w:hint="eastAsia" w:ascii="黑体" w:hAnsi="黑体" w:eastAsia="黑体" w:cs="黑体"/>
          <w:bCs/>
          <w:highlight w:val="none"/>
          <w:lang w:val="en-US" w:eastAsia="zh-CN"/>
        </w:rPr>
      </w:pPr>
      <w:r>
        <w:rPr>
          <w:rFonts w:hint="eastAsia" w:ascii="黑体" w:hAnsi="黑体" w:eastAsia="黑体" w:cs="黑体"/>
          <w:highlight w:val="none"/>
          <w:lang w:val="en-US" w:eastAsia="zh-CN"/>
        </w:rPr>
        <w:t>表4</w:t>
      </w:r>
      <w:r>
        <w:rPr>
          <w:rFonts w:hint="eastAsia" w:ascii="黑体" w:hAnsi="黑体" w:eastAsia="黑体" w:cs="黑体"/>
          <w:highlight w:val="none"/>
        </w:rPr>
        <w:t xml:space="preserve"> 副栅附着力测试示意</w:t>
      </w:r>
      <w:r>
        <w:rPr>
          <w:rFonts w:hint="eastAsia" w:ascii="黑体" w:hAnsi="黑体" w:eastAsia="黑体" w:cs="黑体"/>
          <w:highlight w:val="none"/>
          <w:lang w:val="en-US" w:eastAsia="zh-CN"/>
        </w:rPr>
        <w:t>表</w:t>
      </w:r>
    </w:p>
    <w:tbl>
      <w:tblPr>
        <w:tblStyle w:val="27"/>
        <w:tblW w:w="911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66"/>
        <w:gridCol w:w="2576"/>
        <w:gridCol w:w="1890"/>
        <w:gridCol w:w="207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566" w:type="dxa"/>
            <w:tcBorders>
              <w:bottom w:val="single" w:color="auto" w:sz="8" w:space="0"/>
            </w:tcBorders>
            <w:vAlign w:val="center"/>
          </w:tcPr>
          <w:p>
            <w:pPr>
              <w:pStyle w:val="233"/>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粘连胶带</w:t>
            </w:r>
          </w:p>
        </w:tc>
        <w:tc>
          <w:tcPr>
            <w:tcW w:w="2576" w:type="dxa"/>
            <w:tcBorders>
              <w:bottom w:val="single" w:color="auto" w:sz="8" w:space="0"/>
            </w:tcBorders>
            <w:vAlign w:val="center"/>
          </w:tcPr>
          <w:p>
            <w:pPr>
              <w:pStyle w:val="233"/>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撕拉胶带</w:t>
            </w:r>
          </w:p>
        </w:tc>
        <w:tc>
          <w:tcPr>
            <w:tcW w:w="1890" w:type="dxa"/>
            <w:tcBorders>
              <w:bottom w:val="single" w:color="auto" w:sz="8" w:space="0"/>
            </w:tcBorders>
            <w:vAlign w:val="center"/>
          </w:tcPr>
          <w:p>
            <w:pPr>
              <w:pStyle w:val="233"/>
              <w:ind w:firstLine="0" w:firstLineChars="0"/>
              <w:jc w:val="center"/>
              <w:rPr>
                <w:rFonts w:hAnsi="宋体"/>
                <w:sz w:val="18"/>
                <w:szCs w:val="18"/>
                <w:highlight w:val="none"/>
              </w:rPr>
            </w:pPr>
            <w:r>
              <w:rPr>
                <w:rFonts w:hint="eastAsia" w:ascii="宋体" w:hAnsi="宋体" w:eastAsia="宋体" w:cs="宋体"/>
                <w:sz w:val="18"/>
                <w:szCs w:val="18"/>
                <w:highlight w:val="none"/>
              </w:rPr>
              <w:t>未出现栅线脱落</w:t>
            </w:r>
          </w:p>
        </w:tc>
        <w:tc>
          <w:tcPr>
            <w:tcW w:w="2078" w:type="dxa"/>
            <w:tcBorders>
              <w:bottom w:val="single" w:color="auto" w:sz="8" w:space="0"/>
            </w:tcBorders>
            <w:vAlign w:val="center"/>
          </w:tcPr>
          <w:p>
            <w:pPr>
              <w:pStyle w:val="233"/>
              <w:ind w:firstLine="0" w:firstLineChars="0"/>
              <w:jc w:val="center"/>
              <w:rPr>
                <w:rFonts w:hAnsi="宋体"/>
                <w:sz w:val="18"/>
                <w:szCs w:val="18"/>
                <w:highlight w:val="none"/>
              </w:rPr>
            </w:pPr>
            <w:r>
              <w:rPr>
                <w:rFonts w:hint="eastAsia" w:hAnsi="宋体" w:cs="宋体"/>
                <w:sz w:val="18"/>
                <w:szCs w:val="18"/>
                <w:highlight w:val="none"/>
                <w:lang w:val="en-US" w:eastAsia="zh-CN"/>
              </w:rPr>
              <w:t>出</w:t>
            </w:r>
            <w:r>
              <w:rPr>
                <w:rFonts w:hint="eastAsia" w:ascii="宋体" w:hAnsi="宋体" w:eastAsia="宋体" w:cs="宋体"/>
                <w:sz w:val="18"/>
                <w:szCs w:val="18"/>
                <w:highlight w:val="none"/>
              </w:rPr>
              <w:t>现栅线脱落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2566" w:type="dxa"/>
            <w:tcBorders>
              <w:top w:val="single" w:color="auto" w:sz="8" w:space="0"/>
            </w:tcBorders>
            <w:vAlign w:val="center"/>
          </w:tcPr>
          <w:p>
            <w:pPr>
              <w:pStyle w:val="233"/>
              <w:ind w:firstLine="0" w:firstLineChars="0"/>
              <w:jc w:val="center"/>
              <w:rPr>
                <w:rFonts w:hAnsi="宋体"/>
                <w:sz w:val="18"/>
                <w:szCs w:val="18"/>
                <w:highlight w:val="none"/>
              </w:rPr>
            </w:pPr>
            <w:r>
              <w:rPr>
                <w:highlight w:val="none"/>
              </w:rPr>
              <w:drawing>
                <wp:inline distT="0" distB="0" distL="114300" distR="114300">
                  <wp:extent cx="1410335" cy="1496060"/>
                  <wp:effectExtent l="0" t="0" r="6985" b="12700"/>
                  <wp:docPr id="9" name="图片 9" descr="贴胶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贴胶带"/>
                          <pic:cNvPicPr>
                            <a:picLocks noChangeAspect="1"/>
                          </pic:cNvPicPr>
                        </pic:nvPicPr>
                        <pic:blipFill>
                          <a:blip r:embed="rId36"/>
                          <a:srcRect l="8745" t="9802" r="2333" b="19523"/>
                          <a:stretch>
                            <a:fillRect/>
                          </a:stretch>
                        </pic:blipFill>
                        <pic:spPr>
                          <a:xfrm>
                            <a:off x="0" y="0"/>
                            <a:ext cx="1410335" cy="1496060"/>
                          </a:xfrm>
                          <a:prstGeom prst="rect">
                            <a:avLst/>
                          </a:prstGeom>
                        </pic:spPr>
                      </pic:pic>
                    </a:graphicData>
                  </a:graphic>
                </wp:inline>
              </w:drawing>
            </w:r>
          </w:p>
        </w:tc>
        <w:tc>
          <w:tcPr>
            <w:tcW w:w="2576" w:type="dxa"/>
            <w:tcBorders>
              <w:top w:val="single" w:color="auto" w:sz="8" w:space="0"/>
            </w:tcBorders>
            <w:vAlign w:val="center"/>
          </w:tcPr>
          <w:p>
            <w:pPr>
              <w:pStyle w:val="233"/>
              <w:ind w:firstLine="0" w:firstLineChars="0"/>
              <w:jc w:val="both"/>
              <w:rPr>
                <w:rFonts w:hAnsi="宋体"/>
                <w:sz w:val="18"/>
                <w:szCs w:val="18"/>
                <w:highlight w:val="none"/>
              </w:rPr>
            </w:pPr>
            <w:r>
              <w:rPr>
                <w:rFonts w:hint="eastAsia" w:eastAsia="宋体"/>
                <w:highlight w:val="none"/>
                <w:lang w:eastAsia="zh-CN"/>
              </w:rPr>
              <w:drawing>
                <wp:inline distT="0" distB="0" distL="114300" distR="114300">
                  <wp:extent cx="1469390" cy="1426845"/>
                  <wp:effectExtent l="0" t="0" r="8890" b="5715"/>
                  <wp:docPr id="10" name="图片 10" descr="IMG_4509.HE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4509.HEIC.JPG"/>
                          <pic:cNvPicPr>
                            <a:picLocks noChangeAspect="1"/>
                          </pic:cNvPicPr>
                        </pic:nvPicPr>
                        <pic:blipFill>
                          <a:blip r:embed="rId37"/>
                          <a:srcRect t="1852" b="25405"/>
                          <a:stretch>
                            <a:fillRect/>
                          </a:stretch>
                        </pic:blipFill>
                        <pic:spPr>
                          <a:xfrm>
                            <a:off x="0" y="0"/>
                            <a:ext cx="1469390" cy="1426845"/>
                          </a:xfrm>
                          <a:prstGeom prst="rect">
                            <a:avLst/>
                          </a:prstGeom>
                        </pic:spPr>
                      </pic:pic>
                    </a:graphicData>
                  </a:graphic>
                </wp:inline>
              </w:drawing>
            </w:r>
          </w:p>
        </w:tc>
        <w:tc>
          <w:tcPr>
            <w:tcW w:w="1890" w:type="dxa"/>
            <w:tcBorders>
              <w:top w:val="single" w:color="auto" w:sz="8" w:space="0"/>
            </w:tcBorders>
            <w:vAlign w:val="center"/>
          </w:tcPr>
          <w:p>
            <w:pPr>
              <w:pStyle w:val="233"/>
              <w:ind w:firstLine="0" w:firstLineChars="0"/>
              <w:jc w:val="center"/>
              <w:rPr>
                <w:rFonts w:hint="eastAsia" w:eastAsia="宋体"/>
                <w:sz w:val="18"/>
                <w:szCs w:val="18"/>
                <w:highlight w:val="none"/>
                <w:lang w:eastAsia="zh-CN"/>
              </w:rPr>
            </w:pPr>
            <w:r>
              <w:rPr>
                <w:rFonts w:hint="eastAsia" w:eastAsia="宋体"/>
                <w:sz w:val="18"/>
                <w:szCs w:val="18"/>
                <w:highlight w:val="none"/>
                <w:lang w:eastAsia="zh-CN"/>
              </w:rPr>
              <w:drawing>
                <wp:inline distT="0" distB="0" distL="114300" distR="114300">
                  <wp:extent cx="1037590" cy="1445895"/>
                  <wp:effectExtent l="0" t="0" r="13970" b="1905"/>
                  <wp:docPr id="11" name="图片 11" descr="撕完胶带栅线不脱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撕完胶带栅线不脱落"/>
                          <pic:cNvPicPr>
                            <a:picLocks noChangeAspect="1"/>
                          </pic:cNvPicPr>
                        </pic:nvPicPr>
                        <pic:blipFill>
                          <a:blip r:embed="rId38"/>
                          <a:srcRect r="4141"/>
                          <a:stretch>
                            <a:fillRect/>
                          </a:stretch>
                        </pic:blipFill>
                        <pic:spPr>
                          <a:xfrm>
                            <a:off x="0" y="0"/>
                            <a:ext cx="1037590" cy="1445895"/>
                          </a:xfrm>
                          <a:prstGeom prst="rect">
                            <a:avLst/>
                          </a:prstGeom>
                        </pic:spPr>
                      </pic:pic>
                    </a:graphicData>
                  </a:graphic>
                </wp:inline>
              </w:drawing>
            </w:r>
          </w:p>
        </w:tc>
        <w:tc>
          <w:tcPr>
            <w:tcW w:w="2078" w:type="dxa"/>
            <w:tcBorders>
              <w:top w:val="single" w:color="auto" w:sz="8" w:space="0"/>
            </w:tcBorders>
            <w:vAlign w:val="center"/>
          </w:tcPr>
          <w:p>
            <w:pPr>
              <w:pStyle w:val="233"/>
              <w:ind w:firstLine="0" w:firstLineChars="0"/>
              <w:jc w:val="center"/>
              <w:rPr>
                <w:rFonts w:hint="eastAsia" w:hAnsi="宋体" w:eastAsia="宋体"/>
                <w:sz w:val="18"/>
                <w:szCs w:val="18"/>
                <w:highlight w:val="none"/>
                <w:lang w:eastAsia="zh-CN"/>
              </w:rPr>
            </w:pPr>
            <w:r>
              <w:rPr>
                <w:rFonts w:hint="eastAsia" w:hAnsi="宋体" w:eastAsia="宋体"/>
                <w:sz w:val="18"/>
                <w:szCs w:val="18"/>
                <w:highlight w:val="none"/>
                <w:lang w:eastAsia="zh-CN"/>
              </w:rPr>
              <w:drawing>
                <wp:inline distT="0" distB="0" distL="114300" distR="114300">
                  <wp:extent cx="1179830" cy="1341755"/>
                  <wp:effectExtent l="0" t="0" r="8890" b="14605"/>
                  <wp:docPr id="12" name="图片 12" descr="撕完胶带栅线脱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撕完胶带栅线脱落"/>
                          <pic:cNvPicPr>
                            <a:picLocks noChangeAspect="1"/>
                          </pic:cNvPicPr>
                        </pic:nvPicPr>
                        <pic:blipFill>
                          <a:blip r:embed="rId39"/>
                          <a:srcRect t="27080"/>
                          <a:stretch>
                            <a:fillRect/>
                          </a:stretch>
                        </pic:blipFill>
                        <pic:spPr>
                          <a:xfrm>
                            <a:off x="0" y="0"/>
                            <a:ext cx="1179830" cy="1341755"/>
                          </a:xfrm>
                          <a:prstGeom prst="rect">
                            <a:avLst/>
                          </a:prstGeom>
                        </pic:spPr>
                      </pic:pic>
                    </a:graphicData>
                  </a:graphic>
                </wp:inline>
              </w:drawing>
            </w:r>
          </w:p>
        </w:tc>
      </w:tr>
      <w:bookmarkEnd w:id="186"/>
    </w:tbl>
    <w:p>
      <w:pPr>
        <w:pStyle w:val="58"/>
        <w:ind w:firstLine="0" w:firstLineChars="0"/>
        <w:jc w:val="both"/>
        <w:rPr>
          <w:rFonts w:hint="eastAsia"/>
          <w:highlight w:val="none"/>
        </w:rPr>
      </w:pPr>
    </w:p>
    <w:sectPr>
      <w:headerReference r:id="rId24" w:type="default"/>
      <w:footerReference r:id="rId26" w:type="default"/>
      <w:headerReference r:id="rId25" w:type="even"/>
      <w:footerReference r:id="rId27" w:type="even"/>
      <w:pgSz w:w="11906" w:h="16838"/>
      <w:pgMar w:top="567"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ind w:right="210" w:rightChars="100"/>
      <w:jc w:val="right"/>
      <w:rPr>
        <w:rFonts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Ⅱ</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keepNext w:val="0"/>
      <w:keepLines w:val="0"/>
      <w:pageBreakBefore w:val="0"/>
      <w:widowControl/>
      <w:kinsoku/>
      <w:wordWrap/>
      <w:overflowPunct/>
      <w:topLinePunct w:val="0"/>
      <w:autoSpaceDE/>
      <w:autoSpaceDN/>
      <w:bidi w:val="0"/>
      <w:adjustRightInd/>
      <w:snapToGrid/>
      <w:ind w:left="227"/>
      <w:textAlignment w:val="auto"/>
    </w:pPr>
    <w:r>
      <w:fldChar w:fldCharType="begin"/>
    </w:r>
    <w:r>
      <w:instrText xml:space="preserve"> PAGE   \* MERGEFORMAT \* MERGEFORMAT </w:instrText>
    </w:r>
    <w:r>
      <w:fldChar w:fldCharType="separate"/>
    </w:r>
    <w: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3"/>
      <w:keepNext w:val="0"/>
      <w:keepLines w:val="0"/>
      <w:pageBreakBefore w:val="0"/>
      <w:widowControl/>
      <w:kinsoku/>
      <w:wordWrap/>
      <w:overflowPunct/>
      <w:topLinePunct w:val="0"/>
      <w:autoSpaceDE/>
      <w:autoSpaceDN/>
      <w:bidi w:val="0"/>
      <w:adjustRightInd/>
      <w:snapToGrid/>
      <w:spacing w:before="0"/>
      <w:ind w:right="227"/>
      <w:textAlignment w:val="auto"/>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58420" cy="139700"/>
              <wp:effectExtent l="0" t="0" r="0" b="0"/>
              <wp:wrapNone/>
              <wp:docPr id="466783986" name="文本框 87047"/>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adjustRightInd/>
                            <w:snapToGrid w:val="0"/>
                            <w:spacing w:line="240" w:lineRule="auto"/>
                            <w:rPr>
                              <w:sz w:val="18"/>
                              <w:szCs w:val="24"/>
                            </w:rPr>
                          </w:pPr>
                          <w:r>
                            <w:rPr>
                              <w:rFonts w:hint="eastAsia"/>
                              <w:sz w:val="18"/>
                              <w:szCs w:val="24"/>
                            </w:rPr>
                            <w:fldChar w:fldCharType="begin"/>
                          </w:r>
                          <w:r>
                            <w:rPr>
                              <w:rFonts w:hint="eastAsia"/>
                              <w:sz w:val="18"/>
                              <w:szCs w:val="24"/>
                            </w:rPr>
                            <w:instrText xml:space="preserve"> PAGE  \* MERGEFORMAT </w:instrText>
                          </w:r>
                          <w:r>
                            <w:rPr>
                              <w:rFonts w:hint="eastAsia"/>
                              <w:sz w:val="18"/>
                              <w:szCs w:val="24"/>
                            </w:rPr>
                            <w:fldChar w:fldCharType="separate"/>
                          </w:r>
                          <w:r>
                            <w:rPr>
                              <w:sz w:val="18"/>
                              <w:szCs w:val="24"/>
                            </w:rPr>
                            <w:t>10</w:t>
                          </w:r>
                          <w:r>
                            <w:rPr>
                              <w:rFonts w:hint="eastAsia"/>
                              <w:sz w:val="18"/>
                              <w:szCs w:val="24"/>
                            </w:rPr>
                            <w:fldChar w:fldCharType="end"/>
                          </w:r>
                        </w:p>
                      </w:txbxContent>
                    </wps:txbx>
                    <wps:bodyPr rot="0" vert="horz" wrap="none" lIns="0" tIns="0" rIns="0" bIns="0" anchor="t" anchorCtr="0" upright="1">
                      <a:spAutoFit/>
                    </wps:bodyPr>
                  </wps:wsp>
                </a:graphicData>
              </a:graphic>
            </wp:anchor>
          </w:drawing>
        </mc:Choice>
        <mc:Fallback>
          <w:pict>
            <v:shape id="文本框 87047" o:spid="_x0000_s1026" o:spt="202" type="#_x0000_t202" style="position:absolute;left:0pt;margin-top:0pt;height:11pt;width:4.6pt;mso-position-horizontal:right;mso-position-horizontal-relative:margin;mso-wrap-style:none;z-index:251661312;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y1u5d9AAAAACAQAADwAAAAAAAAABACAA&#10;AAAiAAAAZHJzL2Rvd25yZXYueG1sUEsBAhQAFAAAAAgAh07iQNAZTooVAgAADQQAAA4AAAAAAAAA&#10;AQAgAAAAHwEAAGRycy9lMm9Eb2MueG1sUEsFBgAAAAAGAAYAWQEAAKYFAAAAAA==&#10;">
              <v:fill on="f" focussize="0,0"/>
              <v:stroke on="f"/>
              <v:imagedata o:title=""/>
              <o:lock v:ext="edit" aspectratio="f"/>
              <v:textbox inset="0mm,0mm,0mm,0mm" style="mso-fit-shape-to-text:t;">
                <w:txbxContent>
                  <w:p>
                    <w:pPr>
                      <w:adjustRightInd/>
                      <w:snapToGrid w:val="0"/>
                      <w:spacing w:line="240" w:lineRule="auto"/>
                      <w:rPr>
                        <w:sz w:val="18"/>
                        <w:szCs w:val="24"/>
                      </w:rPr>
                    </w:pPr>
                    <w:r>
                      <w:rPr>
                        <w:rFonts w:hint="eastAsia"/>
                        <w:sz w:val="18"/>
                        <w:szCs w:val="24"/>
                      </w:rPr>
                      <w:fldChar w:fldCharType="begin"/>
                    </w:r>
                    <w:r>
                      <w:rPr>
                        <w:rFonts w:hint="eastAsia"/>
                        <w:sz w:val="18"/>
                        <w:szCs w:val="24"/>
                      </w:rPr>
                      <w:instrText xml:space="preserve"> PAGE  \* MERGEFORMAT </w:instrText>
                    </w:r>
                    <w:r>
                      <w:rPr>
                        <w:rFonts w:hint="eastAsia"/>
                        <w:sz w:val="18"/>
                        <w:szCs w:val="24"/>
                      </w:rPr>
                      <w:fldChar w:fldCharType="separate"/>
                    </w:r>
                    <w:r>
                      <w:rPr>
                        <w:sz w:val="18"/>
                        <w:szCs w:val="24"/>
                      </w:rPr>
                      <w:t>10</w:t>
                    </w:r>
                    <w:r>
                      <w:rPr>
                        <w:rFonts w:hint="eastAsia"/>
                        <w:sz w:val="18"/>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T/CPIA XXXX—2023</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keepNext w:val="0"/>
      <w:keepLines w:val="0"/>
      <w:pageBreakBefore w:val="0"/>
      <w:widowControl/>
      <w:kinsoku/>
      <w:wordWrap/>
      <w:overflowPunct/>
      <w:topLinePunct w:val="0"/>
      <w:autoSpaceDE/>
      <w:autoSpaceDN/>
      <w:bidi w:val="0"/>
      <w:adjustRightInd/>
      <w:snapToGrid/>
      <w:spacing w:after="283"/>
      <w:textAlignment w:val="auto"/>
    </w:pPr>
    <w:r>
      <w:fldChar w:fldCharType="begin"/>
    </w:r>
    <w:r>
      <w:instrText xml:space="preserve"> STYLEREF  标准文件_文件编号 \* MERGEFORMAT </w:instrText>
    </w:r>
    <w:r>
      <w:fldChar w:fldCharType="separate"/>
    </w:r>
    <w:r>
      <w:t>T/CPIA XXXX—2023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keepNext w:val="0"/>
      <w:keepLines w:val="0"/>
      <w:pageBreakBefore w:val="0"/>
      <w:widowControl/>
      <w:kinsoku/>
      <w:wordWrap/>
      <w:overflowPunct/>
      <w:topLinePunct w:val="0"/>
      <w:autoSpaceDE/>
      <w:autoSpaceDN/>
      <w:bidi w:val="0"/>
      <w:adjustRightInd/>
      <w:snapToGrid/>
      <w:spacing w:after="283"/>
      <w:textAlignment w:val="auto"/>
    </w:pPr>
    <w:r>
      <w:fldChar w:fldCharType="begin"/>
    </w:r>
    <w:r>
      <w:instrText xml:space="preserve"> STYLEREF  标准文件_文件编号  \* MERGEFORMAT </w:instrText>
    </w:r>
    <w:r>
      <w:fldChar w:fldCharType="separate"/>
    </w:r>
    <w:r>
      <w:t>T/CPIA XXXX—2023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T/CPIA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T/CPIA XXXX—2023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keepNext w:val="0"/>
      <w:keepLines w:val="0"/>
      <w:pageBreakBefore w:val="0"/>
      <w:widowControl/>
      <w:kinsoku/>
      <w:wordWrap/>
      <w:overflowPunct/>
      <w:topLinePunct w:val="0"/>
      <w:autoSpaceDE/>
      <w:autoSpaceDN/>
      <w:bidi w:val="0"/>
      <w:adjustRightInd/>
      <w:snapToGrid/>
      <w:spacing w:after="283"/>
      <w:textAlignment w:val="auto"/>
    </w:pPr>
    <w:r>
      <w:fldChar w:fldCharType="begin"/>
    </w:r>
    <w:r>
      <w:instrText xml:space="preserve"> STYLEREF  标准文件_文件编号 \* MERGEFORMAT </w:instrText>
    </w:r>
    <w:r>
      <w:fldChar w:fldCharType="separate"/>
    </w:r>
    <w:r>
      <w:t>T/CPIA XXXX—2023</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keepNext w:val="0"/>
      <w:keepLines w:val="0"/>
      <w:pageBreakBefore w:val="0"/>
      <w:widowControl/>
      <w:kinsoku/>
      <w:wordWrap/>
      <w:overflowPunct/>
      <w:topLinePunct w:val="0"/>
      <w:autoSpaceDE/>
      <w:autoSpaceDN/>
      <w:bidi w:val="0"/>
      <w:adjustRightInd/>
      <w:snapToGrid/>
      <w:spacing w:after="283"/>
      <w:textAlignment w:val="auto"/>
    </w:pPr>
    <w:r>
      <w:fldChar w:fldCharType="begin"/>
    </w:r>
    <w:r>
      <w:instrText xml:space="preserve"> STYLEREF  标准文件_文件编号  \* MERGEFORMAT </w:instrText>
    </w:r>
    <w:r>
      <w:fldChar w:fldCharType="separate"/>
    </w:r>
    <w:r>
      <w:t>T/CPIA XXXX—2023</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keepNext w:val="0"/>
      <w:keepLines w:val="0"/>
      <w:pageBreakBefore w:val="0"/>
      <w:widowControl/>
      <w:kinsoku/>
      <w:wordWrap/>
      <w:overflowPunct/>
      <w:topLinePunct w:val="0"/>
      <w:autoSpaceDE/>
      <w:autoSpaceDN/>
      <w:bidi w:val="0"/>
      <w:adjustRightInd/>
      <w:snapToGrid/>
      <w:spacing w:after="283"/>
      <w:textAlignment w:val="auto"/>
    </w:pPr>
    <w:r>
      <w:fldChar w:fldCharType="begin"/>
    </w:r>
    <w:r>
      <w:instrText xml:space="preserve"> STYLEREF  标准文件_文件编号 \* MERGEFORMAT </w:instrText>
    </w:r>
    <w:r>
      <w:fldChar w:fldCharType="separate"/>
    </w:r>
    <w:r>
      <w:t>T/CPIA XXXX—2023</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2"/>
    </w:pPr>
    <w:r>
      <w:rPr>
        <w:rFonts w:hint="eastAsia"/>
      </w:rPr>
      <w:t>T</w:t>
    </w:r>
    <w:r>
      <w:t>/</w:t>
    </w:r>
    <w:r>
      <w:rPr>
        <w:rFonts w:hint="eastAsia"/>
      </w:rPr>
      <w:t>CPIA</w:t>
    </w:r>
    <w:r>
      <w:t xml:space="preserve">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5DC48"/>
    <w:multiLevelType w:val="multilevel"/>
    <w:tmpl w:val="CE05DC48"/>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0000015"/>
    <w:multiLevelType w:val="multilevel"/>
    <w:tmpl w:val="00000015"/>
    <w:lvl w:ilvl="0" w:tentative="0">
      <w:start w:val="1"/>
      <w:numFmt w:val="lowerLetter"/>
      <w:lvlText w:val="%1)"/>
      <w:lvlJc w:val="left"/>
      <w:pPr>
        <w:tabs>
          <w:tab w:val="left" w:pos="845"/>
        </w:tabs>
        <w:ind w:left="845" w:hanging="419"/>
      </w:pPr>
      <w:rPr>
        <w:rFonts w:ascii="宋体" w:hAnsi="宋体" w:eastAsia="宋体" w:cs="Times New Roman"/>
        <w:b w:val="0"/>
        <w:i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2"/>
      <w:suff w:val="nothing"/>
      <w:lvlText w:val="注%1："/>
      <w:lvlJc w:val="left"/>
      <w:pPr>
        <w:ind w:left="868"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1701"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1"/>
      <w:lvlText w:val="%1——"/>
      <w:lvlJc w:val="left"/>
      <w:pPr>
        <w:tabs>
          <w:tab w:val="left" w:pos="330"/>
        </w:tabs>
        <w:ind w:left="948"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29"/>
  </w:num>
  <w:num w:numId="3">
    <w:abstractNumId w:val="7"/>
  </w:num>
  <w:num w:numId="4">
    <w:abstractNumId w:val="25"/>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7"/>
  </w:num>
  <w:num w:numId="12">
    <w:abstractNumId w:val="14"/>
  </w:num>
  <w:num w:numId="13">
    <w:abstractNumId w:val="0"/>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3"/>
  </w:num>
  <w:num w:numId="21">
    <w:abstractNumId w:val="13"/>
  </w:num>
  <w:num w:numId="22">
    <w:abstractNumId w:val="32"/>
  </w:num>
  <w:num w:numId="23">
    <w:abstractNumId w:val="22"/>
  </w:num>
  <w:num w:numId="24">
    <w:abstractNumId w:val="8"/>
  </w:num>
  <w:num w:numId="25">
    <w:abstractNumId w:val="28"/>
  </w:num>
  <w:num w:numId="26">
    <w:abstractNumId w:val="30"/>
  </w:num>
  <w:num w:numId="27">
    <w:abstractNumId w:val="4"/>
  </w:num>
  <w:num w:numId="28">
    <w:abstractNumId w:val="6"/>
  </w:num>
  <w:num w:numId="29">
    <w:abstractNumId w:val="16"/>
  </w:num>
  <w:num w:numId="30">
    <w:abstractNumId w:val="26"/>
  </w:num>
  <w:num w:numId="31">
    <w:abstractNumId w:val="24"/>
  </w:num>
  <w:num w:numId="32">
    <w:abstractNumId w:val="12"/>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1NGIyMWYwMTcwM2U3OTBjMDdkNzVkZThhZWI1NWIifQ=="/>
  </w:docVars>
  <w:rsids>
    <w:rsidRoot w:val="00AE130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5DA5"/>
    <w:rsid w:val="000F67E9"/>
    <w:rsid w:val="00104926"/>
    <w:rsid w:val="0010674F"/>
    <w:rsid w:val="00113B1E"/>
    <w:rsid w:val="0011711C"/>
    <w:rsid w:val="00124E4F"/>
    <w:rsid w:val="001260B7"/>
    <w:rsid w:val="001265CB"/>
    <w:rsid w:val="001321C6"/>
    <w:rsid w:val="001325C4"/>
    <w:rsid w:val="00133010"/>
    <w:rsid w:val="001338EE"/>
    <w:rsid w:val="00133AAE"/>
    <w:rsid w:val="00135323"/>
    <w:rsid w:val="001356C4"/>
    <w:rsid w:val="001363B5"/>
    <w:rsid w:val="00137565"/>
    <w:rsid w:val="00141114"/>
    <w:rsid w:val="00142969"/>
    <w:rsid w:val="001446C2"/>
    <w:rsid w:val="001457E7"/>
    <w:rsid w:val="00145D9D"/>
    <w:rsid w:val="00146388"/>
    <w:rsid w:val="001529E5"/>
    <w:rsid w:val="00152FB3"/>
    <w:rsid w:val="00153C7E"/>
    <w:rsid w:val="00153DB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5E2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0A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02A"/>
    <w:rsid w:val="002A1260"/>
    <w:rsid w:val="002A1589"/>
    <w:rsid w:val="002A1608"/>
    <w:rsid w:val="002A25DC"/>
    <w:rsid w:val="002A3AAB"/>
    <w:rsid w:val="002A4CEA"/>
    <w:rsid w:val="002A5977"/>
    <w:rsid w:val="002A5A13"/>
    <w:rsid w:val="002A757F"/>
    <w:rsid w:val="002A7F44"/>
    <w:rsid w:val="002B0C40"/>
    <w:rsid w:val="002B1966"/>
    <w:rsid w:val="002B4508"/>
    <w:rsid w:val="002B53EB"/>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C2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3A4"/>
    <w:rsid w:val="005220EC"/>
    <w:rsid w:val="00523F95"/>
    <w:rsid w:val="00524D65"/>
    <w:rsid w:val="00525B16"/>
    <w:rsid w:val="00533D04"/>
    <w:rsid w:val="00534804"/>
    <w:rsid w:val="00534BDF"/>
    <w:rsid w:val="005354EA"/>
    <w:rsid w:val="0053585F"/>
    <w:rsid w:val="00535EC4"/>
    <w:rsid w:val="00535ED9"/>
    <w:rsid w:val="0053692B"/>
    <w:rsid w:val="005414C9"/>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47B"/>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5F7"/>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3A79"/>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4C"/>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305"/>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808"/>
    <w:rsid w:val="00B62B58"/>
    <w:rsid w:val="00B65149"/>
    <w:rsid w:val="00B66567"/>
    <w:rsid w:val="00B66F52"/>
    <w:rsid w:val="00B66FE5"/>
    <w:rsid w:val="00B67C9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616"/>
    <w:rsid w:val="00CB0BA2"/>
    <w:rsid w:val="00CB1A42"/>
    <w:rsid w:val="00CB1B0C"/>
    <w:rsid w:val="00CB2C0B"/>
    <w:rsid w:val="00CB517D"/>
    <w:rsid w:val="00CC038D"/>
    <w:rsid w:val="00CC08DB"/>
    <w:rsid w:val="00CC35A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82E"/>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507"/>
    <w:rsid w:val="00DD57EE"/>
    <w:rsid w:val="00DD6BCC"/>
    <w:rsid w:val="00DE0A4B"/>
    <w:rsid w:val="00DE2410"/>
    <w:rsid w:val="00DE2939"/>
    <w:rsid w:val="00DE6E81"/>
    <w:rsid w:val="00DE703F"/>
    <w:rsid w:val="00DE7595"/>
    <w:rsid w:val="00DF1961"/>
    <w:rsid w:val="00DF44DE"/>
    <w:rsid w:val="00E01138"/>
    <w:rsid w:val="00E01AC2"/>
    <w:rsid w:val="00E02DFB"/>
    <w:rsid w:val="00E030F9"/>
    <w:rsid w:val="00E0311A"/>
    <w:rsid w:val="00E03138"/>
    <w:rsid w:val="00E06404"/>
    <w:rsid w:val="00E11A85"/>
    <w:rsid w:val="00E12495"/>
    <w:rsid w:val="00E15236"/>
    <w:rsid w:val="00E15CCD"/>
    <w:rsid w:val="00E202EF"/>
    <w:rsid w:val="00E210B5"/>
    <w:rsid w:val="00E2552F"/>
    <w:rsid w:val="00E25C52"/>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25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6F34"/>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187"/>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C3987"/>
    <w:rsid w:val="014566D5"/>
    <w:rsid w:val="02781BC8"/>
    <w:rsid w:val="039270A7"/>
    <w:rsid w:val="05455025"/>
    <w:rsid w:val="062510FF"/>
    <w:rsid w:val="067032E2"/>
    <w:rsid w:val="07482466"/>
    <w:rsid w:val="07862E15"/>
    <w:rsid w:val="09615163"/>
    <w:rsid w:val="0A2B613D"/>
    <w:rsid w:val="0AD61C2B"/>
    <w:rsid w:val="0BE36304"/>
    <w:rsid w:val="0D5631EC"/>
    <w:rsid w:val="0E4B4A3E"/>
    <w:rsid w:val="0F8D2B5E"/>
    <w:rsid w:val="11A7084A"/>
    <w:rsid w:val="11E20396"/>
    <w:rsid w:val="131E2005"/>
    <w:rsid w:val="14FC304E"/>
    <w:rsid w:val="15A834F1"/>
    <w:rsid w:val="16D649CD"/>
    <w:rsid w:val="1757444C"/>
    <w:rsid w:val="17865BAC"/>
    <w:rsid w:val="19993C86"/>
    <w:rsid w:val="19A97FDE"/>
    <w:rsid w:val="1E012619"/>
    <w:rsid w:val="1E0B4354"/>
    <w:rsid w:val="1E65704C"/>
    <w:rsid w:val="1F2C4CA9"/>
    <w:rsid w:val="1FA44B19"/>
    <w:rsid w:val="1FD75AF5"/>
    <w:rsid w:val="20506B91"/>
    <w:rsid w:val="209070CD"/>
    <w:rsid w:val="225D32FD"/>
    <w:rsid w:val="24590292"/>
    <w:rsid w:val="251D4DD3"/>
    <w:rsid w:val="26AA1B81"/>
    <w:rsid w:val="270F2A82"/>
    <w:rsid w:val="294A5611"/>
    <w:rsid w:val="2A23579E"/>
    <w:rsid w:val="2A5F7045"/>
    <w:rsid w:val="2ADA0DA3"/>
    <w:rsid w:val="2BF35C97"/>
    <w:rsid w:val="2E3F5A55"/>
    <w:rsid w:val="2E7524E1"/>
    <w:rsid w:val="2FBE4A30"/>
    <w:rsid w:val="304578AB"/>
    <w:rsid w:val="3097543A"/>
    <w:rsid w:val="30E13BD8"/>
    <w:rsid w:val="313256B9"/>
    <w:rsid w:val="324A2389"/>
    <w:rsid w:val="326018F8"/>
    <w:rsid w:val="353B64A8"/>
    <w:rsid w:val="357C6216"/>
    <w:rsid w:val="35DD4DEC"/>
    <w:rsid w:val="369E0EF6"/>
    <w:rsid w:val="36D5799C"/>
    <w:rsid w:val="3950297B"/>
    <w:rsid w:val="39C813AB"/>
    <w:rsid w:val="3C4B742A"/>
    <w:rsid w:val="3D207623"/>
    <w:rsid w:val="3E2C75CE"/>
    <w:rsid w:val="3F4E6E34"/>
    <w:rsid w:val="41116766"/>
    <w:rsid w:val="413C3725"/>
    <w:rsid w:val="43890D1B"/>
    <w:rsid w:val="44E31B1B"/>
    <w:rsid w:val="490D6025"/>
    <w:rsid w:val="4A7D4E89"/>
    <w:rsid w:val="4ADD7DA9"/>
    <w:rsid w:val="4B4E7517"/>
    <w:rsid w:val="4BD874E8"/>
    <w:rsid w:val="4C953A4C"/>
    <w:rsid w:val="4CCA64D8"/>
    <w:rsid w:val="4DA61A67"/>
    <w:rsid w:val="4E183F18"/>
    <w:rsid w:val="4E8923F5"/>
    <w:rsid w:val="511D0F3D"/>
    <w:rsid w:val="536A2908"/>
    <w:rsid w:val="536D2181"/>
    <w:rsid w:val="53770B71"/>
    <w:rsid w:val="54567270"/>
    <w:rsid w:val="56FE0A59"/>
    <w:rsid w:val="57601EDE"/>
    <w:rsid w:val="57792B50"/>
    <w:rsid w:val="57CC0905"/>
    <w:rsid w:val="57EF1159"/>
    <w:rsid w:val="5830567F"/>
    <w:rsid w:val="58674252"/>
    <w:rsid w:val="594544E6"/>
    <w:rsid w:val="59F111B9"/>
    <w:rsid w:val="5BC94136"/>
    <w:rsid w:val="5FC97768"/>
    <w:rsid w:val="60365E9E"/>
    <w:rsid w:val="616A27AF"/>
    <w:rsid w:val="638C2104"/>
    <w:rsid w:val="639A0E98"/>
    <w:rsid w:val="6405758C"/>
    <w:rsid w:val="647B4F74"/>
    <w:rsid w:val="653B1E3D"/>
    <w:rsid w:val="68322D68"/>
    <w:rsid w:val="68A67238"/>
    <w:rsid w:val="68A76436"/>
    <w:rsid w:val="69470DF5"/>
    <w:rsid w:val="69FC5F4C"/>
    <w:rsid w:val="6A796E11"/>
    <w:rsid w:val="6B347823"/>
    <w:rsid w:val="6D287A99"/>
    <w:rsid w:val="6D420E87"/>
    <w:rsid w:val="6D805604"/>
    <w:rsid w:val="6EA159D9"/>
    <w:rsid w:val="6F1C255D"/>
    <w:rsid w:val="6FFE5F86"/>
    <w:rsid w:val="70AE0B1C"/>
    <w:rsid w:val="7101344E"/>
    <w:rsid w:val="71650598"/>
    <w:rsid w:val="719B1BD9"/>
    <w:rsid w:val="71A02453"/>
    <w:rsid w:val="71BC73A7"/>
    <w:rsid w:val="72D2262A"/>
    <w:rsid w:val="73EB3CBA"/>
    <w:rsid w:val="74961AFE"/>
    <w:rsid w:val="749F1AE5"/>
    <w:rsid w:val="74DD260E"/>
    <w:rsid w:val="74FA634E"/>
    <w:rsid w:val="75D305B4"/>
    <w:rsid w:val="773E0809"/>
    <w:rsid w:val="779A61B1"/>
    <w:rsid w:val="77A63707"/>
    <w:rsid w:val="787338F5"/>
    <w:rsid w:val="789031F2"/>
    <w:rsid w:val="7A6A64B6"/>
    <w:rsid w:val="7AD435B1"/>
    <w:rsid w:val="7E7F1366"/>
    <w:rsid w:val="7F6D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link w:val="23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link w:val="239"/>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link w:val="235"/>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wrap="around"/>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link w:val="237"/>
    <w:qFormat/>
    <w:uiPriority w:val="0"/>
    <w:pPr>
      <w:ind w:left="811" w:firstLine="0" w:firstLineChars="0"/>
    </w:pPr>
    <w:rPr>
      <w:sz w:val="18"/>
    </w:rPr>
  </w:style>
  <w:style w:type="paragraph" w:customStyle="1" w:styleId="208">
    <w:name w:val="标准文件_注X后"/>
    <w:basedOn w:val="58"/>
    <w:link w:val="236"/>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段 Char"/>
    <w:link w:val="233"/>
    <w:qFormat/>
    <w:uiPriority w:val="0"/>
    <w:rPr>
      <w:rFonts w:ascii="宋体"/>
      <w:sz w:val="21"/>
    </w:rPr>
  </w:style>
  <w:style w:type="paragraph" w:customStyle="1" w:styleId="233">
    <w:name w:val="段"/>
    <w:link w:val="232"/>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4">
    <w:name w:val="字母编号列项（一级）"/>
    <w:qFormat/>
    <w:uiPriority w:val="0"/>
    <w:pPr>
      <w:tabs>
        <w:tab w:val="left" w:pos="840"/>
        <w:tab w:val="left" w:pos="1646"/>
      </w:tabs>
      <w:ind w:left="1646" w:hanging="648"/>
      <w:jc w:val="both"/>
    </w:pPr>
    <w:rPr>
      <w:rFonts w:ascii="宋体" w:hAnsi="Calibri" w:eastAsia="宋体" w:cs="Times New Roman"/>
      <w:sz w:val="21"/>
      <w:lang w:val="en-US" w:eastAsia="zh-CN" w:bidi="ar-SA"/>
    </w:rPr>
  </w:style>
  <w:style w:type="character" w:customStyle="1" w:styleId="235">
    <w:name w:val="标准文件_注×： Char"/>
    <w:link w:val="182"/>
    <w:qFormat/>
    <w:uiPriority w:val="0"/>
    <w:rPr>
      <w:rFonts w:ascii="宋体" w:hAnsi="Times New Roman" w:eastAsia="宋体" w:cs="Times New Roman"/>
      <w:sz w:val="18"/>
      <w:szCs w:val="18"/>
      <w:lang w:val="en-US" w:eastAsia="zh-CN" w:bidi="ar-SA"/>
    </w:rPr>
  </w:style>
  <w:style w:type="character" w:customStyle="1" w:styleId="236">
    <w:name w:val="标准文件_注X后 Char"/>
    <w:link w:val="208"/>
    <w:qFormat/>
    <w:uiPriority w:val="0"/>
    <w:rPr>
      <w:sz w:val="18"/>
    </w:rPr>
  </w:style>
  <w:style w:type="character" w:customStyle="1" w:styleId="237">
    <w:name w:val="标准文件_注后 Char"/>
    <w:link w:val="207"/>
    <w:qFormat/>
    <w:uiPriority w:val="0"/>
    <w:rPr>
      <w:sz w:val="18"/>
    </w:rPr>
  </w:style>
  <w:style w:type="character" w:customStyle="1" w:styleId="238">
    <w:name w:val="标准文件_标准正文 Char"/>
    <w:link w:val="57"/>
    <w:qFormat/>
    <w:uiPriority w:val="0"/>
    <w:rPr>
      <w:kern w:val="0"/>
    </w:rPr>
  </w:style>
  <w:style w:type="character" w:customStyle="1" w:styleId="239">
    <w:name w:val="标准文件_公式后的破折号 Char"/>
    <w:link w:val="90"/>
    <w:qFormat/>
    <w:uiPriority w:val="0"/>
  </w:style>
  <w:style w:type="paragraph" w:customStyle="1" w:styleId="240">
    <w:name w:val="章标题"/>
    <w:next w:val="233"/>
    <w:qFormat/>
    <w:uiPriority w:val="0"/>
    <w:pPr>
      <w:numPr>
        <w:ilvl w:val="0"/>
        <w:numId w:val="32"/>
      </w:numPr>
      <w:spacing w:beforeLines="100" w:afterLines="100"/>
      <w:jc w:val="both"/>
      <w:outlineLvl w:val="1"/>
    </w:pPr>
    <w:rPr>
      <w:rFonts w:ascii="黑体" w:hAnsi="Calibri" w:eastAsia="黑体" w:cs="Times New Roman"/>
      <w:sz w:val="21"/>
      <w:lang w:val="en-US" w:eastAsia="zh-CN" w:bidi="ar-SA"/>
    </w:rPr>
  </w:style>
  <w:style w:type="paragraph" w:customStyle="1" w:styleId="241">
    <w:name w:val="_Style 1"/>
    <w:basedOn w:val="1"/>
    <w:qFormat/>
    <w:uiPriority w:val="34"/>
    <w:pPr>
      <w:ind w:firstLine="420" w:firstLineChars="200"/>
    </w:pPr>
  </w:style>
  <w:style w:type="paragraph" w:customStyle="1" w:styleId="242">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243">
    <w:name w:val="标准书脚_奇数页"/>
    <w:qFormat/>
    <w:uiPriority w:val="0"/>
    <w:pPr>
      <w:spacing w:before="120"/>
      <w:ind w:right="198"/>
      <w:jc w:val="right"/>
    </w:pPr>
    <w:rPr>
      <w:rFonts w:ascii="宋体" w:hAnsi="Calibri"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4" Type="http://schemas.openxmlformats.org/officeDocument/2006/relationships/glossaryDocument" Target="glossary/document.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endnotes" Target="endnotes.xml"/><Relationship Id="rId39" Type="http://schemas.openxmlformats.org/officeDocument/2006/relationships/image" Target="media/image9.jpeg"/><Relationship Id="rId38" Type="http://schemas.openxmlformats.org/officeDocument/2006/relationships/image" Target="media/image8.jpeg"/><Relationship Id="rId37" Type="http://schemas.openxmlformats.org/officeDocument/2006/relationships/image" Target="media/image7.jpeg"/><Relationship Id="rId36" Type="http://schemas.openxmlformats.org/officeDocument/2006/relationships/image" Target="media/image6.jpeg"/><Relationship Id="rId35" Type="http://schemas.openxmlformats.org/officeDocument/2006/relationships/image" Target="media/image5.png"/><Relationship Id="rId34" Type="http://schemas.openxmlformats.org/officeDocument/2006/relationships/image" Target="media/image4.wmf"/><Relationship Id="rId33" Type="http://schemas.openxmlformats.org/officeDocument/2006/relationships/oleObject" Target="embeddings/oleObject2.bin"/><Relationship Id="rId32" Type="http://schemas.openxmlformats.org/officeDocument/2006/relationships/image" Target="media/image3.png"/><Relationship Id="rId31" Type="http://schemas.openxmlformats.org/officeDocument/2006/relationships/image" Target="media/image2.wmf"/><Relationship Id="rId30" Type="http://schemas.openxmlformats.org/officeDocument/2006/relationships/oleObject" Target="embeddings/oleObject1.bin"/><Relationship Id="rId3" Type="http://schemas.openxmlformats.org/officeDocument/2006/relationships/footnotes" Target="footnotes.xml"/><Relationship Id="rId29" Type="http://schemas.openxmlformats.org/officeDocument/2006/relationships/image" Target="media/image1.jpeg"/><Relationship Id="rId28" Type="http://schemas.openxmlformats.org/officeDocument/2006/relationships/theme" Target="theme/theme1.xml"/><Relationship Id="rId27" Type="http://schemas.openxmlformats.org/officeDocument/2006/relationships/footer" Target="footer12.xml"/><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header" Target="header10.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BCCEF4DA094EE1A3EA89D73B495B65"/>
        <w:style w:val=""/>
        <w:category>
          <w:name w:val="常规"/>
          <w:gallery w:val="placeholder"/>
        </w:category>
        <w:types>
          <w:type w:val="bbPlcHdr"/>
        </w:types>
        <w:behaviors>
          <w:behavior w:val="content"/>
        </w:behaviors>
        <w:description w:val=""/>
        <w:guid w:val="{552B1F9D-C77A-45F1-BB4B-38F7FE20F93F}"/>
      </w:docPartPr>
      <w:docPartBody>
        <w:p>
          <w:pPr>
            <w:pStyle w:val="5"/>
          </w:pPr>
          <w:r>
            <w:rPr>
              <w:rStyle w:val="4"/>
              <w:rFonts w:hint="eastAsia"/>
            </w:rPr>
            <w:t>单击或点击此处输入文字。</w:t>
          </w:r>
        </w:p>
      </w:docPartBody>
    </w:docPart>
    <w:docPart>
      <w:docPartPr>
        <w:name w:val="8467A95ED8AA41BC97CDEF710B4C0341"/>
        <w:style w:val=""/>
        <w:category>
          <w:name w:val="常规"/>
          <w:gallery w:val="placeholder"/>
        </w:category>
        <w:types>
          <w:type w:val="bbPlcHdr"/>
        </w:types>
        <w:behaviors>
          <w:behavior w:val="content"/>
        </w:behaviors>
        <w:description w:val=""/>
        <w:guid w:val="{613CDF3F-036D-4771-95ED-6B0AF4A2720F}"/>
      </w:docPartPr>
      <w:docPartBody>
        <w:p>
          <w:pPr>
            <w:pStyle w:val="6"/>
          </w:pPr>
          <w:r>
            <w:rPr>
              <w:rStyle w:val="4"/>
              <w:rFonts w:hint="eastAsia"/>
            </w:rPr>
            <w:t>选择一项。</w:t>
          </w:r>
        </w:p>
      </w:docPartBody>
    </w:docPart>
    <w:docPart>
      <w:docPartPr>
        <w:name w:val="F7B519F888524541906C6B20F3C883B9"/>
        <w:style w:val=""/>
        <w:category>
          <w:name w:val="常规"/>
          <w:gallery w:val="placeholder"/>
        </w:category>
        <w:types>
          <w:type w:val="bbPlcHdr"/>
        </w:types>
        <w:behaviors>
          <w:behavior w:val="content"/>
        </w:behaviors>
        <w:description w:val=""/>
        <w:guid w:val="{97D3D829-3834-4781-8803-AF795E81E88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A7C"/>
    <w:rsid w:val="002C48B2"/>
    <w:rsid w:val="00386C30"/>
    <w:rsid w:val="005E5A7C"/>
    <w:rsid w:val="00622B47"/>
    <w:rsid w:val="00774AF5"/>
    <w:rsid w:val="00774EDF"/>
    <w:rsid w:val="00790BAA"/>
    <w:rsid w:val="00DC1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BCCEF4DA094EE1A3EA89D73B495B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467A95ED8AA41BC97CDEF710B4C03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7B519F888524541906C6B20F3C883B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6B46F3-E22E-43A8-A2D3-5D641D1BF3A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14</Pages>
  <Words>1039</Words>
  <Characters>5926</Characters>
  <Lines>49</Lines>
  <Paragraphs>13</Paragraphs>
  <TotalTime>1</TotalTime>
  <ScaleCrop>false</ScaleCrop>
  <LinksUpToDate>false</LinksUpToDate>
  <CharactersWithSpaces>6952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2021-08-05T00:34:00Z</dcterms:created>
  <dc:creator>40545</dc:creator>
  <dc:description>&lt;config cover="true" show_menu="true" version="1.0.0" doctype="SDKXY"&gt;_x000d_
&lt;/config&gt;</dc:description>
  <cp:lastModifiedBy>庄广土</cp:lastModifiedBy>
  <cp:lastPrinted>2021-02-02T08:22:00Z</cp:lastPrinted>
  <dcterms:modified xsi:type="dcterms:W3CDTF">2023-10-20T11:29:17Z</dcterms:modified>
  <dc:title>团体标准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2052-12.1.0.15712</vt:lpwstr>
  </property>
  <property fmtid="{D5CDD505-2E9C-101B-9397-08002B2CF9AE}" pid="16" name="ICV">
    <vt:lpwstr>855BB1794D25459F87FA15F063CE278B_13</vt:lpwstr>
  </property>
</Properties>
</file>